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1591" w14:textId="77777777" w:rsidR="002F4698" w:rsidRDefault="00AD2CCB" w:rsidP="00C34469">
      <w:pPr>
        <w:tabs>
          <w:tab w:val="center" w:pos="850"/>
          <w:tab w:val="right" w:pos="10998"/>
        </w:tabs>
        <w:spacing w:after="120" w:line="240" w:lineRule="auto"/>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ab/>
        <w:t xml:space="preserve"> </w:t>
      </w:r>
      <w:r w:rsidRPr="00AD2CCB">
        <w:rPr>
          <w:rFonts w:asciiTheme="majorHAnsi" w:eastAsia="Trebuchet MS" w:hAnsiTheme="majorHAnsi" w:cstheme="majorHAnsi"/>
          <w:sz w:val="24"/>
          <w:szCs w:val="24"/>
        </w:rPr>
        <w:tab/>
      </w:r>
    </w:p>
    <w:p w14:paraId="6793FBB3" w14:textId="77777777" w:rsidR="002F4698" w:rsidRPr="004C0798" w:rsidRDefault="002F4698" w:rsidP="00C34469">
      <w:pPr>
        <w:spacing w:after="120" w:line="240" w:lineRule="auto"/>
        <w:jc w:val="right"/>
        <w:rPr>
          <w:rFonts w:asciiTheme="majorHAnsi" w:hAnsiTheme="majorHAnsi" w:cstheme="majorHAnsi"/>
          <w:bCs/>
          <w:color w:val="808080" w:themeColor="background1" w:themeShade="80"/>
          <w:sz w:val="20"/>
          <w:szCs w:val="20"/>
        </w:rPr>
      </w:pPr>
      <w:r w:rsidRPr="004C0798">
        <w:rPr>
          <w:rFonts w:asciiTheme="majorHAnsi" w:hAnsiTheme="majorHAnsi" w:cstheme="majorHAnsi"/>
          <w:bCs/>
          <w:color w:val="808080" w:themeColor="background1" w:themeShade="80"/>
          <w:sz w:val="20"/>
          <w:szCs w:val="20"/>
          <w:u w:val="single"/>
        </w:rPr>
        <w:t>ANNEX VI</w:t>
      </w:r>
      <w:r w:rsidRPr="004C0798">
        <w:rPr>
          <w:rFonts w:asciiTheme="majorHAnsi" w:hAnsiTheme="majorHAnsi" w:cstheme="majorHAnsi"/>
          <w:bCs/>
          <w:i/>
          <w:color w:val="808080" w:themeColor="background1" w:themeShade="80"/>
          <w:sz w:val="20"/>
          <w:szCs w:val="20"/>
          <w:u w:val="single"/>
          <w:vertAlign w:val="superscript"/>
        </w:rPr>
        <w:footnoteReference w:id="1"/>
      </w:r>
      <w:r w:rsidRPr="004C0798">
        <w:rPr>
          <w:rFonts w:asciiTheme="majorHAnsi" w:hAnsiTheme="majorHAnsi" w:cstheme="majorHAnsi"/>
          <w:bCs/>
          <w:color w:val="808080" w:themeColor="background1" w:themeShade="80"/>
          <w:sz w:val="20"/>
          <w:szCs w:val="20"/>
          <w:u w:val="single"/>
        </w:rPr>
        <w:t xml:space="preserve"> </w:t>
      </w:r>
      <w:proofErr w:type="spellStart"/>
      <w:r w:rsidRPr="004C0798">
        <w:rPr>
          <w:rFonts w:asciiTheme="majorHAnsi" w:hAnsiTheme="majorHAnsi" w:cstheme="majorHAnsi"/>
          <w:bCs/>
          <w:color w:val="808080" w:themeColor="background1" w:themeShade="80"/>
          <w:sz w:val="20"/>
          <w:szCs w:val="20"/>
        </w:rPr>
        <w:t>Template</w:t>
      </w:r>
      <w:proofErr w:type="spellEnd"/>
      <w:r w:rsidRPr="004C0798">
        <w:rPr>
          <w:rFonts w:asciiTheme="majorHAnsi" w:hAnsiTheme="majorHAnsi" w:cstheme="majorHAnsi"/>
          <w:bCs/>
          <w:color w:val="808080" w:themeColor="background1" w:themeShade="80"/>
          <w:sz w:val="20"/>
          <w:szCs w:val="20"/>
        </w:rPr>
        <w:t xml:space="preserve"> of a </w:t>
      </w:r>
      <w:proofErr w:type="spellStart"/>
      <w:r w:rsidRPr="004C0798">
        <w:rPr>
          <w:rFonts w:asciiTheme="majorHAnsi" w:hAnsiTheme="majorHAnsi" w:cstheme="majorHAnsi"/>
          <w:bCs/>
          <w:color w:val="808080" w:themeColor="background1" w:themeShade="80"/>
          <w:sz w:val="20"/>
          <w:szCs w:val="20"/>
        </w:rPr>
        <w:t>programme</w:t>
      </w:r>
      <w:proofErr w:type="spellEnd"/>
      <w:r w:rsidRPr="004C0798">
        <w:rPr>
          <w:rFonts w:asciiTheme="majorHAnsi" w:hAnsiTheme="majorHAnsi" w:cstheme="majorHAnsi"/>
          <w:bCs/>
          <w:color w:val="808080" w:themeColor="background1" w:themeShade="80"/>
          <w:sz w:val="20"/>
          <w:szCs w:val="20"/>
        </w:rPr>
        <w:t xml:space="preserve"> for the AMIF, the ISF </w:t>
      </w:r>
      <w:proofErr w:type="spellStart"/>
      <w:r w:rsidRPr="004C0798">
        <w:rPr>
          <w:rFonts w:asciiTheme="majorHAnsi" w:hAnsiTheme="majorHAnsi" w:cstheme="majorHAnsi"/>
          <w:bCs/>
          <w:color w:val="808080" w:themeColor="background1" w:themeShade="80"/>
          <w:sz w:val="20"/>
          <w:szCs w:val="20"/>
        </w:rPr>
        <w:t>and</w:t>
      </w:r>
      <w:proofErr w:type="spellEnd"/>
      <w:r w:rsidRPr="004C0798">
        <w:rPr>
          <w:rFonts w:asciiTheme="majorHAnsi" w:hAnsiTheme="majorHAnsi" w:cstheme="majorHAnsi"/>
          <w:bCs/>
          <w:color w:val="808080" w:themeColor="background1" w:themeShade="80"/>
          <w:sz w:val="20"/>
          <w:szCs w:val="20"/>
        </w:rPr>
        <w:t xml:space="preserve"> the BMVI – </w:t>
      </w:r>
      <w:proofErr w:type="spellStart"/>
      <w:r w:rsidRPr="004C0798">
        <w:rPr>
          <w:rFonts w:asciiTheme="majorHAnsi" w:hAnsiTheme="majorHAnsi" w:cstheme="majorHAnsi"/>
          <w:bCs/>
          <w:color w:val="808080" w:themeColor="background1" w:themeShade="80"/>
          <w:sz w:val="20"/>
          <w:szCs w:val="20"/>
        </w:rPr>
        <w:t>Article</w:t>
      </w:r>
      <w:proofErr w:type="spellEnd"/>
      <w:r w:rsidRPr="004C0798">
        <w:rPr>
          <w:rFonts w:asciiTheme="majorHAnsi" w:hAnsiTheme="majorHAnsi" w:cstheme="majorHAnsi"/>
          <w:bCs/>
          <w:color w:val="808080" w:themeColor="background1" w:themeShade="80"/>
          <w:sz w:val="20"/>
          <w:szCs w:val="20"/>
        </w:rPr>
        <w:t xml:space="preserve"> 16(3)</w:t>
      </w:r>
    </w:p>
    <w:p w14:paraId="5CB1FE45" w14:textId="77777777" w:rsidR="002F4698" w:rsidRPr="00280487" w:rsidRDefault="002F4698" w:rsidP="00C34469">
      <w:pPr>
        <w:tabs>
          <w:tab w:val="center" w:pos="850"/>
          <w:tab w:val="right" w:pos="10998"/>
        </w:tabs>
        <w:spacing w:after="120" w:line="240" w:lineRule="auto"/>
        <w:rPr>
          <w:rFonts w:asciiTheme="majorHAnsi" w:eastAsia="Trebuchet MS" w:hAnsiTheme="majorHAnsi" w:cstheme="majorHAnsi"/>
          <w:sz w:val="28"/>
          <w:szCs w:val="28"/>
        </w:rPr>
      </w:pPr>
    </w:p>
    <w:p w14:paraId="39C6AF13" w14:textId="77777777" w:rsidR="00280487" w:rsidRDefault="002F4698" w:rsidP="00C34469">
      <w:pPr>
        <w:tabs>
          <w:tab w:val="center" w:pos="850"/>
          <w:tab w:val="right" w:pos="10998"/>
        </w:tabs>
        <w:spacing w:after="120" w:line="240" w:lineRule="auto"/>
        <w:rPr>
          <w:rFonts w:asciiTheme="majorHAnsi" w:eastAsia="Trebuchet MS" w:hAnsiTheme="majorHAnsi" w:cstheme="majorHAnsi"/>
          <w:b/>
          <w:bCs/>
          <w:sz w:val="36"/>
          <w:szCs w:val="36"/>
        </w:rPr>
      </w:pPr>
      <w:r w:rsidRPr="00280487">
        <w:rPr>
          <w:rFonts w:asciiTheme="majorHAnsi" w:eastAsia="Trebuchet MS" w:hAnsiTheme="majorHAnsi" w:cstheme="majorHAnsi"/>
          <w:b/>
          <w:bCs/>
          <w:sz w:val="36"/>
          <w:szCs w:val="36"/>
        </w:rPr>
        <w:t xml:space="preserve">PROGRAMUL NAȚIONAL </w:t>
      </w:r>
    </w:p>
    <w:p w14:paraId="1EEBFFBF" w14:textId="75EA54DE" w:rsidR="002F4698" w:rsidRPr="00280487" w:rsidRDefault="002F4698" w:rsidP="00C34469">
      <w:pPr>
        <w:tabs>
          <w:tab w:val="center" w:pos="850"/>
          <w:tab w:val="right" w:pos="10998"/>
        </w:tabs>
        <w:spacing w:after="120" w:line="240" w:lineRule="auto"/>
        <w:rPr>
          <w:rFonts w:asciiTheme="majorHAnsi" w:eastAsia="Trebuchet MS" w:hAnsiTheme="majorHAnsi" w:cstheme="majorHAnsi"/>
          <w:b/>
          <w:bCs/>
          <w:sz w:val="36"/>
          <w:szCs w:val="36"/>
        </w:rPr>
      </w:pPr>
      <w:r w:rsidRPr="00280487">
        <w:rPr>
          <w:rFonts w:asciiTheme="majorHAnsi" w:eastAsia="Trebuchet MS" w:hAnsiTheme="majorHAnsi" w:cstheme="majorHAnsi"/>
          <w:b/>
          <w:bCs/>
          <w:sz w:val="36"/>
          <w:szCs w:val="36"/>
        </w:rPr>
        <w:t>FONDUL SECURITATE INTERNĂ 2021-2027</w:t>
      </w:r>
    </w:p>
    <w:p w14:paraId="023AEE9C" w14:textId="77777777" w:rsidR="008D5733" w:rsidRPr="00AD2CCB" w:rsidRDefault="008D5733" w:rsidP="00C34469">
      <w:pPr>
        <w:spacing w:after="120" w:line="240" w:lineRule="auto"/>
        <w:rPr>
          <w:rFonts w:asciiTheme="majorHAnsi" w:eastAsia="Trebuchet MS" w:hAnsiTheme="majorHAnsi" w:cstheme="majorHAnsi"/>
          <w:sz w:val="24"/>
          <w:szCs w:val="24"/>
        </w:rPr>
      </w:pPr>
      <w:bookmarkStart w:id="0" w:name="_bstb5u7p48ta" w:colFirst="0" w:colLast="0"/>
      <w:bookmarkEnd w:id="0"/>
    </w:p>
    <w:tbl>
      <w:tblPr>
        <w:tblStyle w:val="a"/>
        <w:tblW w:w="5000" w:type="pct"/>
        <w:jc w:val="center"/>
        <w:tblLayout w:type="fixed"/>
        <w:tblCellMar>
          <w:top w:w="0" w:type="dxa"/>
          <w:left w:w="0" w:type="dxa"/>
          <w:right w:w="0" w:type="dxa"/>
        </w:tblCellMar>
        <w:tblLook w:val="0400" w:firstRow="0" w:lastRow="0" w:firstColumn="0" w:lastColumn="0" w:noHBand="0" w:noVBand="1"/>
      </w:tblPr>
      <w:tblGrid>
        <w:gridCol w:w="3397"/>
        <w:gridCol w:w="6231"/>
      </w:tblGrid>
      <w:tr w:rsidR="008D5733" w:rsidRPr="00AD2CCB" w14:paraId="6931A891"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9E08415" w14:textId="77777777" w:rsidR="008D5733" w:rsidRPr="002F4698" w:rsidRDefault="00AD2CCB" w:rsidP="00280487">
            <w:pPr>
              <w:rPr>
                <w:rFonts w:asciiTheme="majorHAnsi" w:eastAsia="Trebuchet MS" w:hAnsiTheme="majorHAnsi" w:cstheme="majorHAnsi"/>
                <w:bCs/>
                <w:sz w:val="24"/>
                <w:szCs w:val="24"/>
              </w:rPr>
            </w:pPr>
            <w:r w:rsidRPr="002F4698">
              <w:rPr>
                <w:rFonts w:asciiTheme="majorHAnsi" w:eastAsia="Trebuchet MS" w:hAnsiTheme="majorHAnsi" w:cstheme="majorHAnsi"/>
                <w:bCs/>
                <w:sz w:val="24"/>
                <w:szCs w:val="24"/>
              </w:rPr>
              <w:t xml:space="preserve">CCI </w:t>
            </w:r>
            <w:proofErr w:type="spellStart"/>
            <w:r w:rsidRPr="002F4698">
              <w:rPr>
                <w:rFonts w:asciiTheme="majorHAnsi" w:eastAsia="Trebuchet MS" w:hAnsiTheme="majorHAnsi" w:cstheme="majorHAnsi"/>
                <w:bCs/>
                <w:sz w:val="24"/>
                <w:szCs w:val="24"/>
              </w:rPr>
              <w:t>number</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2537CFF5" w14:textId="77777777" w:rsidR="008D5733"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 xml:space="preserve"> </w:t>
            </w:r>
          </w:p>
        </w:tc>
      </w:tr>
      <w:tr w:rsidR="008D5733" w:rsidRPr="00AD2CCB" w14:paraId="420EDFBA" w14:textId="77777777" w:rsidTr="00280487">
        <w:trPr>
          <w:trHeight w:val="18"/>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11CB637" w14:textId="77777777" w:rsidR="008D5733"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Title</w:t>
            </w:r>
            <w:proofErr w:type="spellEnd"/>
            <w:r w:rsidRPr="002F4698">
              <w:rPr>
                <w:rFonts w:asciiTheme="majorHAnsi" w:eastAsia="Trebuchet MS" w:hAnsiTheme="majorHAnsi" w:cstheme="majorHAnsi"/>
                <w:bCs/>
                <w:sz w:val="24"/>
                <w:szCs w:val="24"/>
              </w:rPr>
              <w:t xml:space="preserve"> in English </w:t>
            </w:r>
          </w:p>
        </w:tc>
        <w:tc>
          <w:tcPr>
            <w:tcW w:w="6231" w:type="dxa"/>
            <w:tcBorders>
              <w:top w:val="single" w:sz="4" w:space="0" w:color="000000"/>
              <w:left w:val="single" w:sz="4" w:space="0" w:color="000000"/>
              <w:bottom w:val="single" w:sz="4" w:space="0" w:color="000000"/>
              <w:right w:val="single" w:sz="4" w:space="0" w:color="000000"/>
            </w:tcBorders>
            <w:vAlign w:val="center"/>
          </w:tcPr>
          <w:p w14:paraId="35873944" w14:textId="65BAFEF8" w:rsidR="008D5733" w:rsidRPr="00AD2CCB" w:rsidRDefault="002F4698"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[255 CHARACTERS</w:t>
            </w:r>
            <w:r w:rsidR="00AD2CCB" w:rsidRPr="00AD2CCB">
              <w:rPr>
                <w:rFonts w:asciiTheme="majorHAnsi" w:eastAsia="Trebuchet MS" w:hAnsiTheme="majorHAnsi" w:cstheme="majorHAnsi"/>
                <w:sz w:val="24"/>
                <w:szCs w:val="24"/>
                <w:vertAlign w:val="superscript"/>
              </w:rPr>
              <w:footnoteReference w:id="2"/>
            </w:r>
            <w:r w:rsidRPr="00AD2CCB">
              <w:rPr>
                <w:rFonts w:asciiTheme="majorHAnsi" w:eastAsia="Trebuchet MS" w:hAnsiTheme="majorHAnsi" w:cstheme="majorHAnsi"/>
                <w:sz w:val="24"/>
                <w:szCs w:val="24"/>
              </w:rPr>
              <w:t xml:space="preserve">] </w:t>
            </w:r>
          </w:p>
          <w:p w14:paraId="1FACC504" w14:textId="59C03500" w:rsidR="008D5733" w:rsidRPr="00AD2CCB" w:rsidRDefault="002F4698"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NATIONAL PROGRAMME INTERNAL SECURITY FUND</w:t>
            </w:r>
          </w:p>
        </w:tc>
      </w:tr>
      <w:tr w:rsidR="008D5733" w:rsidRPr="00AD2CCB" w14:paraId="2D9670DC" w14:textId="77777777" w:rsidTr="00280487">
        <w:trPr>
          <w:trHeight w:val="382"/>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FA9C207" w14:textId="77777777" w:rsidR="008D5733"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Title</w:t>
            </w:r>
            <w:proofErr w:type="spellEnd"/>
            <w:r w:rsidRPr="002F4698">
              <w:rPr>
                <w:rFonts w:asciiTheme="majorHAnsi" w:eastAsia="Trebuchet MS" w:hAnsiTheme="majorHAnsi" w:cstheme="majorHAnsi"/>
                <w:bCs/>
                <w:sz w:val="24"/>
                <w:szCs w:val="24"/>
              </w:rPr>
              <w:t xml:space="preserve"> in the </w:t>
            </w:r>
            <w:proofErr w:type="spellStart"/>
            <w:r w:rsidRPr="002F4698">
              <w:rPr>
                <w:rFonts w:asciiTheme="majorHAnsi" w:eastAsia="Trebuchet MS" w:hAnsiTheme="majorHAnsi" w:cstheme="majorHAnsi"/>
                <w:bCs/>
                <w:sz w:val="24"/>
                <w:szCs w:val="24"/>
              </w:rPr>
              <w:t>national</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language</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202B061E" w14:textId="2D18351A" w:rsidR="008D5733" w:rsidRPr="00AD2CCB" w:rsidRDefault="002F4698"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[255] PROGRAMUL NAȚIONAL FONDUL SECURITATE INTERNĂ</w:t>
            </w:r>
          </w:p>
        </w:tc>
      </w:tr>
      <w:tr w:rsidR="008D5733" w:rsidRPr="00AD2CCB" w14:paraId="7A1D0A28"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F747817" w14:textId="77777777" w:rsidR="008D5733"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Version</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32301832" w14:textId="77777777" w:rsidR="008D5733"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 xml:space="preserve"> DRAFT 1</w:t>
            </w:r>
          </w:p>
        </w:tc>
      </w:tr>
      <w:tr w:rsidR="008D5733" w:rsidRPr="00AD2CCB" w14:paraId="28D1E3CE"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71B921F" w14:textId="77777777" w:rsidR="008D5733"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First</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Year</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07C19731" w14:textId="77777777" w:rsidR="008D5733"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2021</w:t>
            </w:r>
          </w:p>
        </w:tc>
      </w:tr>
      <w:tr w:rsidR="008D5733" w:rsidRPr="00AD2CCB" w14:paraId="51DCDC4B"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171D27BC" w14:textId="77777777" w:rsidR="008D5733"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Last</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Year</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548A1F3A" w14:textId="77777777" w:rsidR="008D5733"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2027</w:t>
            </w:r>
          </w:p>
        </w:tc>
      </w:tr>
      <w:tr w:rsidR="00AD2CCB" w:rsidRPr="00AD2CCB" w14:paraId="0CA27016" w14:textId="77777777" w:rsidTr="00280487">
        <w:trPr>
          <w:trHeight w:val="18"/>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0FC1C7D"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Eligible</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from</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02DDA8D4" w14:textId="13560AAA" w:rsidR="00AD2CCB" w:rsidRPr="00AD2CCB" w:rsidRDefault="00AD2CCB" w:rsidP="00280487">
            <w:pPr>
              <w:rPr>
                <w:rFonts w:asciiTheme="majorHAnsi" w:eastAsia="Trebuchet MS" w:hAnsiTheme="majorHAnsi" w:cstheme="majorHAnsi"/>
                <w:sz w:val="24"/>
                <w:szCs w:val="24"/>
              </w:rPr>
            </w:pPr>
            <w:r w:rsidRPr="004C0798">
              <w:rPr>
                <w:rFonts w:asciiTheme="majorHAnsi" w:hAnsiTheme="majorHAnsi" w:cstheme="majorHAnsi"/>
              </w:rPr>
              <w:t>1 IANUARIE 2021</w:t>
            </w:r>
          </w:p>
        </w:tc>
      </w:tr>
      <w:tr w:rsidR="00AD2CCB" w:rsidRPr="00AD2CCB" w14:paraId="0ABFADF2"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EB2AFC5"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Eligible</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until</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380DF6BE" w14:textId="4BCE8B43" w:rsidR="00AD2CCB" w:rsidRPr="00AD2CCB" w:rsidRDefault="00AD2CCB" w:rsidP="00280487">
            <w:pPr>
              <w:rPr>
                <w:rFonts w:asciiTheme="majorHAnsi" w:eastAsia="Trebuchet MS" w:hAnsiTheme="majorHAnsi" w:cstheme="majorHAnsi"/>
                <w:sz w:val="24"/>
                <w:szCs w:val="24"/>
              </w:rPr>
            </w:pPr>
            <w:r w:rsidRPr="004C0798">
              <w:rPr>
                <w:rFonts w:asciiTheme="majorHAnsi" w:hAnsiTheme="majorHAnsi" w:cstheme="majorHAnsi"/>
              </w:rPr>
              <w:t>31 DECEMBRIE 2029</w:t>
            </w:r>
          </w:p>
        </w:tc>
      </w:tr>
      <w:tr w:rsidR="00AD2CCB" w:rsidRPr="00AD2CCB" w14:paraId="6F9F2028"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680C4FF"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Commission</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Decision</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Number</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451271A8" w14:textId="77777777" w:rsidR="00AD2CCB"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 xml:space="preserve"> </w:t>
            </w:r>
          </w:p>
        </w:tc>
      </w:tr>
      <w:tr w:rsidR="00AD2CCB" w:rsidRPr="00AD2CCB" w14:paraId="3D84F7F3"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46A18E79"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Commission</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Decision</w:t>
            </w:r>
            <w:proofErr w:type="spellEnd"/>
            <w:r w:rsidRPr="002F4698">
              <w:rPr>
                <w:rFonts w:asciiTheme="majorHAnsi" w:eastAsia="Trebuchet MS" w:hAnsiTheme="majorHAnsi" w:cstheme="majorHAnsi"/>
                <w:bCs/>
                <w:sz w:val="24"/>
                <w:szCs w:val="24"/>
              </w:rPr>
              <w:t xml:space="preserve"> Date  </w:t>
            </w:r>
          </w:p>
        </w:tc>
        <w:tc>
          <w:tcPr>
            <w:tcW w:w="6231" w:type="dxa"/>
            <w:tcBorders>
              <w:top w:val="single" w:sz="4" w:space="0" w:color="000000"/>
              <w:left w:val="single" w:sz="4" w:space="0" w:color="000000"/>
              <w:bottom w:val="single" w:sz="4" w:space="0" w:color="000000"/>
              <w:right w:val="single" w:sz="4" w:space="0" w:color="000000"/>
            </w:tcBorders>
            <w:vAlign w:val="center"/>
          </w:tcPr>
          <w:p w14:paraId="3EE3A02F" w14:textId="77777777" w:rsidR="00AD2CCB"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b/>
                <w:sz w:val="24"/>
                <w:szCs w:val="24"/>
              </w:rPr>
              <w:t xml:space="preserve"> </w:t>
            </w:r>
          </w:p>
        </w:tc>
      </w:tr>
      <w:tr w:rsidR="00AD2CCB" w:rsidRPr="00AD2CCB" w14:paraId="3FE8F118" w14:textId="77777777" w:rsidTr="00280487">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1290D0E"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Member</w:t>
            </w:r>
            <w:proofErr w:type="spellEnd"/>
            <w:r w:rsidRPr="002F4698">
              <w:rPr>
                <w:rFonts w:asciiTheme="majorHAnsi" w:eastAsia="Trebuchet MS" w:hAnsiTheme="majorHAnsi" w:cstheme="majorHAnsi"/>
                <w:bCs/>
                <w:sz w:val="24"/>
                <w:szCs w:val="24"/>
              </w:rPr>
              <w:t xml:space="preserve"> State </w:t>
            </w:r>
            <w:proofErr w:type="spellStart"/>
            <w:r w:rsidRPr="002F4698">
              <w:rPr>
                <w:rFonts w:asciiTheme="majorHAnsi" w:eastAsia="Trebuchet MS" w:hAnsiTheme="majorHAnsi" w:cstheme="majorHAnsi"/>
                <w:bCs/>
                <w:sz w:val="24"/>
                <w:szCs w:val="24"/>
              </w:rPr>
              <w:t>amending</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decision</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number</w:t>
            </w:r>
            <w:proofErr w:type="spellEnd"/>
            <w:r w:rsidRPr="002F4698">
              <w:rPr>
                <w:rFonts w:asciiTheme="majorHAnsi" w:eastAsia="Trebuchet MS" w:hAnsiTheme="majorHAnsi" w:cstheme="majorHAnsi"/>
                <w:bCs/>
                <w:sz w:val="24"/>
                <w:szCs w:val="24"/>
              </w:rPr>
              <w:t xml:space="preserve"> </w:t>
            </w:r>
          </w:p>
        </w:tc>
        <w:tc>
          <w:tcPr>
            <w:tcW w:w="6231" w:type="dxa"/>
            <w:tcBorders>
              <w:top w:val="single" w:sz="4" w:space="0" w:color="000000"/>
              <w:left w:val="single" w:sz="4" w:space="0" w:color="000000"/>
              <w:bottom w:val="single" w:sz="4" w:space="0" w:color="000000"/>
              <w:right w:val="single" w:sz="4" w:space="0" w:color="000000"/>
            </w:tcBorders>
            <w:vAlign w:val="center"/>
          </w:tcPr>
          <w:p w14:paraId="0EE69B85" w14:textId="77777777" w:rsidR="00AD2CCB"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b/>
                <w:sz w:val="24"/>
                <w:szCs w:val="24"/>
              </w:rPr>
              <w:t xml:space="preserve"> </w:t>
            </w:r>
          </w:p>
        </w:tc>
      </w:tr>
      <w:tr w:rsidR="00AD2CCB" w:rsidRPr="00AD2CCB" w14:paraId="27C5EEE8" w14:textId="77777777" w:rsidTr="00280487">
        <w:trPr>
          <w:trHeight w:val="18"/>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675ECE6"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Member</w:t>
            </w:r>
            <w:proofErr w:type="spellEnd"/>
            <w:r w:rsidRPr="002F4698">
              <w:rPr>
                <w:rFonts w:asciiTheme="majorHAnsi" w:eastAsia="Trebuchet MS" w:hAnsiTheme="majorHAnsi" w:cstheme="majorHAnsi"/>
                <w:bCs/>
                <w:sz w:val="24"/>
                <w:szCs w:val="24"/>
              </w:rPr>
              <w:t xml:space="preserve"> State </w:t>
            </w:r>
            <w:proofErr w:type="spellStart"/>
            <w:r w:rsidRPr="002F4698">
              <w:rPr>
                <w:rFonts w:asciiTheme="majorHAnsi" w:eastAsia="Trebuchet MS" w:hAnsiTheme="majorHAnsi" w:cstheme="majorHAnsi"/>
                <w:bCs/>
                <w:sz w:val="24"/>
                <w:szCs w:val="24"/>
              </w:rPr>
              <w:t>amending</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decision</w:t>
            </w:r>
            <w:proofErr w:type="spellEnd"/>
            <w:r w:rsidRPr="002F4698">
              <w:rPr>
                <w:rFonts w:asciiTheme="majorHAnsi" w:eastAsia="Trebuchet MS" w:hAnsiTheme="majorHAnsi" w:cstheme="majorHAnsi"/>
                <w:bCs/>
                <w:sz w:val="24"/>
                <w:szCs w:val="24"/>
              </w:rPr>
              <w:t xml:space="preserve"> </w:t>
            </w:r>
          </w:p>
          <w:p w14:paraId="550E22D2" w14:textId="77777777" w:rsidR="00AD2CCB" w:rsidRPr="002F4698" w:rsidRDefault="00AD2CCB" w:rsidP="00280487">
            <w:pPr>
              <w:rPr>
                <w:rFonts w:asciiTheme="majorHAnsi" w:eastAsia="Trebuchet MS" w:hAnsiTheme="majorHAnsi" w:cstheme="majorHAnsi"/>
                <w:bCs/>
                <w:sz w:val="24"/>
                <w:szCs w:val="24"/>
              </w:rPr>
            </w:pPr>
            <w:proofErr w:type="spellStart"/>
            <w:r w:rsidRPr="002F4698">
              <w:rPr>
                <w:rFonts w:asciiTheme="majorHAnsi" w:eastAsia="Trebuchet MS" w:hAnsiTheme="majorHAnsi" w:cstheme="majorHAnsi"/>
                <w:bCs/>
                <w:sz w:val="24"/>
                <w:szCs w:val="24"/>
              </w:rPr>
              <w:t>entry</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into</w:t>
            </w:r>
            <w:proofErr w:type="spellEnd"/>
            <w:r w:rsidRPr="002F4698">
              <w:rPr>
                <w:rFonts w:asciiTheme="majorHAnsi" w:eastAsia="Trebuchet MS" w:hAnsiTheme="majorHAnsi" w:cstheme="majorHAnsi"/>
                <w:bCs/>
                <w:sz w:val="24"/>
                <w:szCs w:val="24"/>
              </w:rPr>
              <w:t xml:space="preserve"> </w:t>
            </w:r>
            <w:proofErr w:type="spellStart"/>
            <w:r w:rsidRPr="002F4698">
              <w:rPr>
                <w:rFonts w:asciiTheme="majorHAnsi" w:eastAsia="Trebuchet MS" w:hAnsiTheme="majorHAnsi" w:cstheme="majorHAnsi"/>
                <w:bCs/>
                <w:sz w:val="24"/>
                <w:szCs w:val="24"/>
              </w:rPr>
              <w:t>force</w:t>
            </w:r>
            <w:proofErr w:type="spellEnd"/>
            <w:r w:rsidRPr="002F4698">
              <w:rPr>
                <w:rFonts w:asciiTheme="majorHAnsi" w:eastAsia="Trebuchet MS" w:hAnsiTheme="majorHAnsi" w:cstheme="majorHAnsi"/>
                <w:bCs/>
                <w:sz w:val="24"/>
                <w:szCs w:val="24"/>
              </w:rPr>
              <w:t xml:space="preserve"> date </w:t>
            </w:r>
          </w:p>
        </w:tc>
        <w:tc>
          <w:tcPr>
            <w:tcW w:w="6231" w:type="dxa"/>
            <w:tcBorders>
              <w:top w:val="single" w:sz="4" w:space="0" w:color="000000"/>
              <w:left w:val="single" w:sz="4" w:space="0" w:color="000000"/>
              <w:bottom w:val="single" w:sz="4" w:space="0" w:color="000000"/>
              <w:right w:val="single" w:sz="4" w:space="0" w:color="000000"/>
            </w:tcBorders>
            <w:vAlign w:val="center"/>
          </w:tcPr>
          <w:p w14:paraId="1A5AC861" w14:textId="77777777" w:rsidR="00AD2CCB" w:rsidRPr="00AD2CCB" w:rsidRDefault="00AD2CCB" w:rsidP="00280487">
            <w:pPr>
              <w:rPr>
                <w:rFonts w:asciiTheme="majorHAnsi" w:eastAsia="Trebuchet MS" w:hAnsiTheme="majorHAnsi" w:cstheme="majorHAnsi"/>
                <w:sz w:val="24"/>
                <w:szCs w:val="24"/>
              </w:rPr>
            </w:pPr>
            <w:r w:rsidRPr="00AD2CCB">
              <w:rPr>
                <w:rFonts w:asciiTheme="majorHAnsi" w:eastAsia="Trebuchet MS" w:hAnsiTheme="majorHAnsi" w:cstheme="majorHAnsi"/>
                <w:b/>
                <w:sz w:val="24"/>
                <w:szCs w:val="24"/>
              </w:rPr>
              <w:t xml:space="preserve"> </w:t>
            </w:r>
          </w:p>
        </w:tc>
      </w:tr>
    </w:tbl>
    <w:p w14:paraId="6F6B0090" w14:textId="77777777" w:rsidR="008D5733" w:rsidRPr="00AD2CCB" w:rsidRDefault="00AD2CCB" w:rsidP="00C34469">
      <w:pPr>
        <w:spacing w:after="120" w:line="240" w:lineRule="auto"/>
        <w:ind w:left="850"/>
        <w:rPr>
          <w:rFonts w:asciiTheme="majorHAnsi" w:eastAsia="Trebuchet MS" w:hAnsiTheme="majorHAnsi" w:cstheme="majorHAnsi"/>
          <w:sz w:val="24"/>
          <w:szCs w:val="24"/>
        </w:rPr>
      </w:pPr>
      <w:r w:rsidRPr="00AD2CCB">
        <w:rPr>
          <w:rFonts w:asciiTheme="majorHAnsi" w:eastAsia="Trebuchet MS" w:hAnsiTheme="majorHAnsi" w:cstheme="majorHAnsi"/>
          <w:b/>
          <w:sz w:val="24"/>
          <w:szCs w:val="24"/>
        </w:rPr>
        <w:t xml:space="preserve"> </w:t>
      </w:r>
    </w:p>
    <w:p w14:paraId="36E82405" w14:textId="77777777" w:rsidR="009501D5" w:rsidRPr="004C0798" w:rsidRDefault="009501D5" w:rsidP="009501D5">
      <w:pPr>
        <w:spacing w:after="120" w:line="240" w:lineRule="auto"/>
        <w:rPr>
          <w:rFonts w:asciiTheme="majorHAnsi" w:hAnsiTheme="majorHAnsi" w:cstheme="majorHAnsi"/>
          <w:b/>
        </w:rPr>
      </w:pPr>
      <w:bookmarkStart w:id="1" w:name="_x9vqp2yru465" w:colFirst="0" w:colLast="0"/>
      <w:bookmarkEnd w:id="1"/>
    </w:p>
    <w:p w14:paraId="01E079B5" w14:textId="77777777" w:rsidR="001A230B" w:rsidRPr="001C1D0E" w:rsidRDefault="001A230B" w:rsidP="001A230B">
      <w:pPr>
        <w:numPr>
          <w:ilvl w:val="0"/>
          <w:numId w:val="4"/>
        </w:numPr>
        <w:spacing w:after="120" w:line="240" w:lineRule="auto"/>
        <w:jc w:val="both"/>
        <w:rPr>
          <w:rFonts w:asciiTheme="majorHAnsi" w:hAnsiTheme="majorHAnsi" w:cstheme="majorHAnsi"/>
          <w:b/>
          <w:color w:val="FFFFFF" w:themeColor="background1"/>
          <w:sz w:val="28"/>
          <w:szCs w:val="28"/>
          <w:highlight w:val="darkBlue"/>
        </w:rPr>
      </w:pPr>
      <w:bookmarkStart w:id="2" w:name="_Hlk54802121"/>
      <w:proofErr w:type="spellStart"/>
      <w:r w:rsidRPr="001C1D0E">
        <w:rPr>
          <w:rFonts w:asciiTheme="majorHAnsi" w:hAnsiTheme="majorHAnsi" w:cstheme="majorHAnsi"/>
          <w:b/>
          <w:color w:val="FFFFFF" w:themeColor="background1"/>
          <w:sz w:val="28"/>
          <w:szCs w:val="28"/>
          <w:highlight w:val="darkBlue"/>
        </w:rPr>
        <w:t>Programme</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strategy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main</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challenges</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and</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policy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responses</w:t>
      </w:r>
      <w:proofErr w:type="spellEnd"/>
      <w:r w:rsidRPr="001C1D0E">
        <w:rPr>
          <w:rFonts w:asciiTheme="majorHAnsi" w:hAnsiTheme="majorHAnsi" w:cstheme="majorHAnsi"/>
          <w:b/>
          <w:color w:val="FFFFFF" w:themeColor="background1"/>
          <w:sz w:val="28"/>
          <w:szCs w:val="28"/>
          <w:highlight w:val="darkBlue"/>
        </w:rPr>
        <w:t xml:space="preserve"> </w:t>
      </w:r>
    </w:p>
    <w:p w14:paraId="4AFBC1DD" w14:textId="77777777" w:rsidR="009501D5" w:rsidRPr="009501D5" w:rsidRDefault="009501D5" w:rsidP="009501D5">
      <w:pPr>
        <w:spacing w:after="120" w:line="240" w:lineRule="auto"/>
        <w:rPr>
          <w:rFonts w:asciiTheme="majorHAnsi" w:hAnsiTheme="majorHAnsi" w:cstheme="majorHAnsi"/>
          <w:i/>
          <w:sz w:val="24"/>
          <w:szCs w:val="24"/>
        </w:rPr>
      </w:pPr>
      <w:proofErr w:type="spellStart"/>
      <w:r w:rsidRPr="009501D5">
        <w:rPr>
          <w:rFonts w:asciiTheme="majorHAnsi" w:hAnsiTheme="majorHAnsi" w:cstheme="majorHAnsi"/>
          <w:i/>
          <w:sz w:val="24"/>
          <w:szCs w:val="24"/>
        </w:rPr>
        <w:t>Reference</w:t>
      </w:r>
      <w:proofErr w:type="spellEnd"/>
      <w:r w:rsidRPr="009501D5">
        <w:rPr>
          <w:rFonts w:asciiTheme="majorHAnsi" w:hAnsiTheme="majorHAnsi" w:cstheme="majorHAnsi"/>
          <w:i/>
          <w:sz w:val="24"/>
          <w:szCs w:val="24"/>
        </w:rPr>
        <w:t xml:space="preserve">: </w:t>
      </w:r>
      <w:proofErr w:type="spellStart"/>
      <w:r w:rsidRPr="009501D5">
        <w:rPr>
          <w:rFonts w:asciiTheme="majorHAnsi" w:hAnsiTheme="majorHAnsi" w:cstheme="majorHAnsi"/>
          <w:i/>
          <w:sz w:val="24"/>
          <w:szCs w:val="24"/>
        </w:rPr>
        <w:t>Article</w:t>
      </w:r>
      <w:proofErr w:type="spellEnd"/>
      <w:r w:rsidRPr="009501D5">
        <w:rPr>
          <w:rFonts w:asciiTheme="majorHAnsi" w:hAnsiTheme="majorHAnsi" w:cstheme="majorHAnsi"/>
          <w:i/>
          <w:sz w:val="24"/>
          <w:szCs w:val="24"/>
        </w:rPr>
        <w:t xml:space="preserve"> 17(3)(a) )(ii bis), (iii), (iv) </w:t>
      </w:r>
      <w:proofErr w:type="spellStart"/>
      <w:r w:rsidRPr="009501D5">
        <w:rPr>
          <w:rFonts w:asciiTheme="majorHAnsi" w:hAnsiTheme="majorHAnsi" w:cstheme="majorHAnsi"/>
          <w:i/>
          <w:sz w:val="24"/>
          <w:szCs w:val="24"/>
        </w:rPr>
        <w:t>and</w:t>
      </w:r>
      <w:proofErr w:type="spellEnd"/>
      <w:r w:rsidRPr="009501D5">
        <w:rPr>
          <w:rFonts w:asciiTheme="majorHAnsi" w:hAnsiTheme="majorHAnsi" w:cstheme="majorHAnsi"/>
          <w:i/>
          <w:sz w:val="24"/>
          <w:szCs w:val="24"/>
        </w:rPr>
        <w:t xml:space="preserve"> (vii) </w:t>
      </w:r>
      <w:proofErr w:type="spellStart"/>
      <w:r w:rsidRPr="009501D5">
        <w:rPr>
          <w:rFonts w:asciiTheme="majorHAnsi" w:hAnsiTheme="majorHAnsi" w:cstheme="majorHAnsi"/>
          <w:i/>
          <w:sz w:val="24"/>
          <w:szCs w:val="24"/>
        </w:rPr>
        <w:t>and</w:t>
      </w:r>
      <w:proofErr w:type="spellEnd"/>
      <w:r w:rsidRPr="009501D5">
        <w:rPr>
          <w:rFonts w:asciiTheme="majorHAnsi" w:hAnsiTheme="majorHAnsi" w:cstheme="majorHAnsi"/>
          <w:i/>
          <w:sz w:val="24"/>
          <w:szCs w:val="24"/>
        </w:rPr>
        <w:t xml:space="preserve"> CPR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9501D5" w:rsidRPr="004C0798" w14:paraId="523AE2DC" w14:textId="77777777" w:rsidTr="00280487">
        <w:tc>
          <w:tcPr>
            <w:tcW w:w="9628" w:type="dxa"/>
          </w:tcPr>
          <w:p w14:paraId="3749156D" w14:textId="77777777" w:rsidR="009501D5" w:rsidRPr="004C0798" w:rsidRDefault="009501D5" w:rsidP="00280487">
            <w:pPr>
              <w:spacing w:after="120" w:line="240" w:lineRule="auto"/>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explains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how</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programme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address</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identified</w:t>
            </w:r>
            <w:proofErr w:type="spellEnd"/>
            <w:r w:rsidRPr="004C0798">
              <w:rPr>
                <w:rFonts w:asciiTheme="majorHAnsi" w:hAnsiTheme="majorHAnsi" w:cstheme="majorHAnsi"/>
                <w:i/>
                <w:color w:val="808080" w:themeColor="background1" w:themeShade="80"/>
              </w:rPr>
              <w:t xml:space="preserve"> at the </w:t>
            </w:r>
            <w:proofErr w:type="spellStart"/>
            <w:r w:rsidRPr="004C0798">
              <w:rPr>
                <w:rFonts w:asciiTheme="majorHAnsi" w:hAnsiTheme="majorHAnsi" w:cstheme="majorHAnsi"/>
                <w:i/>
                <w:color w:val="808080" w:themeColor="background1" w:themeShade="80"/>
              </w:rPr>
              <w:t>national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level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based</w:t>
            </w:r>
            <w:proofErr w:type="spellEnd"/>
            <w:r w:rsidRPr="004C0798">
              <w:rPr>
                <w:rFonts w:asciiTheme="majorHAnsi" w:hAnsiTheme="majorHAnsi" w:cstheme="majorHAnsi"/>
                <w:i/>
                <w:color w:val="808080" w:themeColor="background1" w:themeShade="80"/>
              </w:rPr>
              <w:t xml:space="preserve"> on local, regional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national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needs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assessments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/or </w:t>
            </w:r>
            <w:proofErr w:type="spellStart"/>
            <w:r w:rsidRPr="004C0798">
              <w:rPr>
                <w:rFonts w:asciiTheme="majorHAnsi" w:hAnsiTheme="majorHAnsi" w:cstheme="majorHAnsi"/>
                <w:i/>
                <w:color w:val="808080" w:themeColor="background1" w:themeShade="80"/>
              </w:rPr>
              <w:t>strategies</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w:t>
            </w:r>
            <w:proofErr w:type="spellStart"/>
            <w:r w:rsidRPr="004C0798">
              <w:rPr>
                <w:rFonts w:asciiTheme="majorHAnsi" w:hAnsiTheme="majorHAnsi" w:cstheme="majorHAnsi"/>
                <w:i/>
                <w:color w:val="808080" w:themeColor="background1" w:themeShade="80"/>
              </w:rPr>
              <w:t>overview</w:t>
            </w:r>
            <w:proofErr w:type="spellEnd"/>
            <w:r w:rsidRPr="004C0798">
              <w:rPr>
                <w:rFonts w:asciiTheme="majorHAnsi" w:hAnsiTheme="majorHAnsi" w:cstheme="majorHAnsi"/>
                <w:i/>
                <w:color w:val="808080" w:themeColor="background1" w:themeShade="80"/>
              </w:rPr>
              <w:t xml:space="preserve"> of the state of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of relevant EU acquis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progress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achieved</w:t>
            </w:r>
            <w:proofErr w:type="spellEnd"/>
            <w:r w:rsidRPr="004C0798">
              <w:rPr>
                <w:rFonts w:asciiTheme="majorHAnsi" w:hAnsiTheme="majorHAnsi" w:cstheme="majorHAnsi"/>
                <w:i/>
                <w:color w:val="808080" w:themeColor="background1" w:themeShade="80"/>
              </w:rPr>
              <w:t xml:space="preserve"> on EU </w:t>
            </w:r>
            <w:proofErr w:type="spellStart"/>
            <w:r w:rsidRPr="004C0798">
              <w:rPr>
                <w:rFonts w:asciiTheme="majorHAnsi" w:hAnsiTheme="majorHAnsi" w:cstheme="majorHAnsi"/>
                <w:i/>
                <w:color w:val="808080" w:themeColor="background1" w:themeShade="80"/>
              </w:rPr>
              <w:t>action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plans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how</w:t>
            </w:r>
            <w:proofErr w:type="spellEnd"/>
            <w:r w:rsidRPr="004C0798">
              <w:rPr>
                <w:rFonts w:asciiTheme="majorHAnsi" w:hAnsiTheme="majorHAnsi" w:cstheme="majorHAnsi"/>
                <w:i/>
                <w:color w:val="808080" w:themeColor="background1" w:themeShade="80"/>
              </w:rPr>
              <w:t xml:space="preserve"> the Fund </w:t>
            </w:r>
            <w:proofErr w:type="spellStart"/>
            <w:r w:rsidRPr="004C0798">
              <w:rPr>
                <w:rFonts w:asciiTheme="majorHAnsi" w:hAnsiTheme="majorHAnsi" w:cstheme="majorHAnsi"/>
                <w:i/>
                <w:color w:val="808080" w:themeColor="background1" w:themeShade="80"/>
              </w:rPr>
              <w:t>will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development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through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programming</w:t>
            </w:r>
            <w:proofErr w:type="spellEnd"/>
            <w:r w:rsidRPr="004C0798">
              <w:rPr>
                <w:rFonts w:asciiTheme="majorHAnsi" w:hAnsiTheme="majorHAnsi" w:cstheme="majorHAnsi"/>
                <w:i/>
                <w:color w:val="808080" w:themeColor="background1" w:themeShade="80"/>
              </w:rPr>
              <w:t xml:space="preserve"> period.</w:t>
            </w:r>
          </w:p>
          <w:p w14:paraId="09C7D4C9" w14:textId="77777777" w:rsidR="009501D5" w:rsidRPr="004C0798" w:rsidRDefault="009501D5" w:rsidP="00280487">
            <w:pPr>
              <w:spacing w:after="120" w:line="240" w:lineRule="auto"/>
              <w:rPr>
                <w:rFonts w:asciiTheme="majorHAnsi" w:hAnsiTheme="majorHAnsi" w:cstheme="majorHAnsi"/>
                <w:i/>
              </w:rPr>
            </w:pPr>
            <w:r w:rsidRPr="004C0798">
              <w:rPr>
                <w:rFonts w:asciiTheme="majorHAnsi" w:hAnsiTheme="majorHAnsi" w:cstheme="majorHAnsi"/>
                <w:i/>
                <w:color w:val="808080" w:themeColor="background1" w:themeShade="80"/>
              </w:rPr>
              <w:t xml:space="preserve"> 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[15 000]</w:t>
            </w:r>
          </w:p>
        </w:tc>
      </w:tr>
      <w:bookmarkEnd w:id="2"/>
    </w:tbl>
    <w:p w14:paraId="52701396" w14:textId="77777777" w:rsidR="008D5733" w:rsidRPr="00AD2CCB" w:rsidRDefault="008D5733" w:rsidP="00C34469">
      <w:pPr>
        <w:spacing w:after="120" w:line="240" w:lineRule="auto"/>
        <w:ind w:left="850"/>
        <w:rPr>
          <w:rFonts w:asciiTheme="majorHAnsi" w:eastAsia="Trebuchet MS" w:hAnsiTheme="majorHAnsi" w:cstheme="majorHAnsi"/>
          <w:strike/>
          <w:sz w:val="24"/>
          <w:szCs w:val="24"/>
        </w:rPr>
      </w:pPr>
    </w:p>
    <w:p w14:paraId="4386AA5D" w14:textId="77777777" w:rsidR="00AD2CCB"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linii generale, în România, fenomenul de </w:t>
      </w:r>
      <w:r w:rsidRPr="00AD2CCB">
        <w:rPr>
          <w:rFonts w:asciiTheme="majorHAnsi" w:eastAsia="Arial Narrow" w:hAnsiTheme="majorHAnsi" w:cstheme="majorHAnsi"/>
          <w:b/>
          <w:sz w:val="24"/>
          <w:szCs w:val="24"/>
        </w:rPr>
        <w:t xml:space="preserve">criminalitate organizată </w:t>
      </w:r>
      <w:r w:rsidRPr="00AD2CCB">
        <w:rPr>
          <w:rFonts w:asciiTheme="majorHAnsi" w:eastAsia="Arial Narrow" w:hAnsiTheme="majorHAnsi" w:cstheme="majorHAnsi"/>
          <w:sz w:val="24"/>
          <w:szCs w:val="24"/>
        </w:rPr>
        <w:t xml:space="preserve">se menține la cote ridicate, grupuri de interese continuând să se implice în activități economice ilegale de mare amploare. România reprezintă, de asemenea, predominant, un spațiu de tranzit pentru </w:t>
      </w:r>
      <w:r w:rsidRPr="00AD2CCB">
        <w:rPr>
          <w:rFonts w:asciiTheme="majorHAnsi" w:eastAsia="Arial Narrow" w:hAnsiTheme="majorHAnsi" w:cstheme="majorHAnsi"/>
          <w:b/>
          <w:sz w:val="24"/>
          <w:szCs w:val="24"/>
        </w:rPr>
        <w:t>migrația ilegală</w:t>
      </w:r>
      <w:r w:rsidRPr="00AD2CCB">
        <w:rPr>
          <w:rFonts w:asciiTheme="majorHAnsi" w:eastAsia="Arial Narrow" w:hAnsiTheme="majorHAnsi" w:cstheme="majorHAnsi"/>
          <w:sz w:val="24"/>
          <w:szCs w:val="24"/>
        </w:rPr>
        <w:t xml:space="preserve"> şi pentru rutele </w:t>
      </w:r>
      <w:r w:rsidRPr="00AD2CCB">
        <w:rPr>
          <w:rFonts w:asciiTheme="majorHAnsi" w:eastAsia="Arial" w:hAnsiTheme="majorHAnsi" w:cstheme="majorHAnsi"/>
          <w:b/>
          <w:sz w:val="24"/>
          <w:szCs w:val="24"/>
        </w:rPr>
        <w:t>traficului internațional de droguri</w:t>
      </w:r>
      <w:r w:rsidRPr="00AD2CCB">
        <w:rPr>
          <w:rFonts w:asciiTheme="majorHAnsi" w:eastAsia="Arial Narrow" w:hAnsiTheme="majorHAnsi" w:cstheme="majorHAnsi"/>
          <w:sz w:val="24"/>
          <w:szCs w:val="24"/>
        </w:rPr>
        <w:t xml:space="preserve"> de mare risc, grupări de criminalitate organizată autohtone implicându-se preponderent pe palierul de intermediere sau sprijin. </w:t>
      </w:r>
    </w:p>
    <w:p w14:paraId="20427A8B" w14:textId="77777777" w:rsidR="00AD2CCB"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Europol, în evaluarea amenințărilor de criminalitate organizată întreprinsă la nivelul agențiilor de aplicare a legii din cadrul UE, document denumit, „E.U. </w:t>
      </w:r>
      <w:proofErr w:type="spellStart"/>
      <w:r w:rsidRPr="00AD2CCB">
        <w:rPr>
          <w:rFonts w:asciiTheme="majorHAnsi" w:eastAsia="Arial Narrow" w:hAnsiTheme="majorHAnsi" w:cstheme="majorHAnsi"/>
          <w:sz w:val="24"/>
          <w:szCs w:val="24"/>
        </w:rPr>
        <w:t>Serious</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and</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Organised</w:t>
      </w:r>
      <w:proofErr w:type="spellEnd"/>
      <w:r w:rsidRPr="00AD2CCB">
        <w:rPr>
          <w:rFonts w:asciiTheme="majorHAnsi" w:eastAsia="Arial Narrow" w:hAnsiTheme="majorHAnsi" w:cstheme="majorHAnsi"/>
          <w:sz w:val="24"/>
          <w:szCs w:val="24"/>
        </w:rPr>
        <w:t xml:space="preserve"> Crime </w:t>
      </w:r>
      <w:proofErr w:type="spellStart"/>
      <w:r w:rsidRPr="00AD2CCB">
        <w:rPr>
          <w:rFonts w:asciiTheme="majorHAnsi" w:eastAsia="Arial Narrow" w:hAnsiTheme="majorHAnsi" w:cstheme="majorHAnsi"/>
          <w:sz w:val="24"/>
          <w:szCs w:val="24"/>
        </w:rPr>
        <w:t>Treath</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Assesment</w:t>
      </w:r>
      <w:proofErr w:type="spellEnd"/>
      <w:r w:rsidRPr="00AD2CCB">
        <w:rPr>
          <w:rFonts w:asciiTheme="majorHAnsi" w:eastAsia="Arial Narrow" w:hAnsiTheme="majorHAnsi" w:cstheme="majorHAnsi"/>
          <w:sz w:val="24"/>
          <w:szCs w:val="24"/>
        </w:rPr>
        <w:t xml:space="preserve"> 2017” arăta că:  ”</w:t>
      </w:r>
      <w:r w:rsidRPr="00AD2CCB">
        <w:rPr>
          <w:rFonts w:asciiTheme="majorHAnsi" w:eastAsia="Arial Narrow" w:hAnsiTheme="majorHAnsi" w:cstheme="majorHAnsi"/>
          <w:i/>
          <w:sz w:val="24"/>
          <w:szCs w:val="24"/>
        </w:rPr>
        <w:t>Mai mult de o treime din grupările de criminalitate organizată sunt implicate  în producerea traficarea și distribuția drogurilor. Alte activități infracționale importante includ furturile, migrația ilegală, traficul de persoane și criminalitatea economică</w:t>
      </w:r>
      <w:r w:rsidRPr="00AD2CCB">
        <w:rPr>
          <w:rFonts w:asciiTheme="majorHAnsi" w:eastAsia="Arial Narrow" w:hAnsiTheme="majorHAnsi" w:cstheme="majorHAnsi"/>
          <w:sz w:val="24"/>
          <w:szCs w:val="24"/>
        </w:rPr>
        <w:t xml:space="preserve">.” Studiul </w:t>
      </w:r>
      <w:r w:rsidRPr="00AD2CCB">
        <w:rPr>
          <w:rFonts w:asciiTheme="majorHAnsi" w:eastAsia="Arial Narrow" w:hAnsiTheme="majorHAnsi" w:cstheme="majorHAnsi"/>
          <w:sz w:val="24"/>
          <w:szCs w:val="24"/>
        </w:rPr>
        <w:lastRenderedPageBreak/>
        <w:t xml:space="preserve">reprezintă documentul ce stă la baza conceptului </w:t>
      </w:r>
      <w:proofErr w:type="spellStart"/>
      <w:r w:rsidRPr="00AD2CCB">
        <w:rPr>
          <w:rFonts w:asciiTheme="majorHAnsi" w:eastAsia="Arial Narrow" w:hAnsiTheme="majorHAnsi" w:cstheme="majorHAnsi"/>
          <w:sz w:val="24"/>
          <w:szCs w:val="24"/>
        </w:rPr>
        <w:t>Policy</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Cycle</w:t>
      </w:r>
      <w:proofErr w:type="spellEnd"/>
      <w:r w:rsidRPr="00AD2CCB">
        <w:rPr>
          <w:rFonts w:asciiTheme="majorHAnsi" w:eastAsia="Arial Narrow" w:hAnsiTheme="majorHAnsi" w:cstheme="majorHAnsi"/>
          <w:sz w:val="24"/>
          <w:szCs w:val="24"/>
        </w:rPr>
        <w:t xml:space="preserve"> și la planificarea strategiilor și activităților pentru combaterea criminalității organizate în spațiul European.</w:t>
      </w:r>
    </w:p>
    <w:p w14:paraId="3163E849"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Fondul va aborda principalele provocări și domenii de acțiune identificate pe baza documentelor strategice naționale și europene, aferente fiecărui domeniu în parte, detaliate în cele ce urmează</w:t>
      </w:r>
      <w:r>
        <w:rPr>
          <w:rFonts w:asciiTheme="majorHAnsi" w:eastAsia="Arial Narrow" w:hAnsiTheme="majorHAnsi" w:cstheme="majorHAnsi"/>
          <w:sz w:val="24"/>
          <w:szCs w:val="24"/>
        </w:rPr>
        <w:t>.</w:t>
      </w:r>
    </w:p>
    <w:p w14:paraId="60D2FE6D"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b/>
          <w:sz w:val="24"/>
          <w:szCs w:val="24"/>
        </w:rPr>
        <w:t xml:space="preserve">Criminalitatea informatică </w:t>
      </w:r>
      <w:r w:rsidRPr="00AD2CCB">
        <w:rPr>
          <w:rFonts w:asciiTheme="majorHAnsi" w:eastAsia="Arial Narrow" w:hAnsiTheme="majorHAnsi" w:cstheme="majorHAnsi"/>
          <w:sz w:val="24"/>
          <w:szCs w:val="24"/>
        </w:rPr>
        <w:t xml:space="preserve">se situează pe o tendință ascendentă, aspect identificat în proiectul Strategiei Naționale de Apărare a Țării 2020 – 2024, tot mai multe grupări autohtone specializându-se în activități ilicite din această sferă cum ar fi: compromitere de ATM-uri și POS-uri, clonări de carduri, acces neautorizat în sisteme informatice, interceptarea ilegală de date informatice, postare de anunțuri fictive pe site-uri de comerț intens accesate, infectarea sistemelor informatice cu </w:t>
      </w:r>
      <w:proofErr w:type="spellStart"/>
      <w:r w:rsidRPr="00AD2CCB">
        <w:rPr>
          <w:rFonts w:asciiTheme="majorHAnsi" w:eastAsia="Arial Narrow" w:hAnsiTheme="majorHAnsi" w:cstheme="majorHAnsi"/>
          <w:sz w:val="24"/>
          <w:szCs w:val="24"/>
        </w:rPr>
        <w:t>ransomware</w:t>
      </w:r>
      <w:proofErr w:type="spellEnd"/>
      <w:r w:rsidRPr="00AD2CCB">
        <w:rPr>
          <w:rFonts w:asciiTheme="majorHAnsi" w:eastAsia="Arial Narrow" w:hAnsiTheme="majorHAnsi" w:cstheme="majorHAnsi"/>
          <w:sz w:val="24"/>
          <w:szCs w:val="24"/>
        </w:rPr>
        <w:t xml:space="preserve">, preluarea sub control de resurse informatice pentru minarea de monede virtuale, dar şi utilizarea sau exploatarea </w:t>
      </w:r>
      <w:proofErr w:type="spellStart"/>
      <w:r w:rsidRPr="00AD2CCB">
        <w:rPr>
          <w:rFonts w:asciiTheme="majorHAnsi" w:eastAsia="Arial Narrow" w:hAnsiTheme="majorHAnsi" w:cstheme="majorHAnsi"/>
          <w:sz w:val="24"/>
          <w:szCs w:val="24"/>
        </w:rPr>
        <w:t>criptomonedelor</w:t>
      </w:r>
      <w:proofErr w:type="spellEnd"/>
      <w:r w:rsidRPr="00AD2CCB">
        <w:rPr>
          <w:rFonts w:asciiTheme="majorHAnsi" w:eastAsia="Arial Narrow" w:hAnsiTheme="majorHAnsi" w:cstheme="majorHAnsi"/>
          <w:sz w:val="24"/>
          <w:szCs w:val="24"/>
        </w:rPr>
        <w:t xml:space="preserve"> pentru derularea de operațiuni ilicite din zona economică.</w:t>
      </w:r>
    </w:p>
    <w:p w14:paraId="1977877F"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Tendințele și factorii de risc identificați în domeniul criminalității informatice pentru următoarea perioada vizează, în principal:</w:t>
      </w:r>
    </w:p>
    <w:p w14:paraId="1995DC32"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Apariția unor noi moduri de operare, devenite, din punct de vedere tehnic, din ce în ce mai complexe, incluzând  majoritatea infracțiunilor din sfera criminalității organizate;</w:t>
      </w:r>
    </w:p>
    <w:p w14:paraId="252D2177"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Folosirea facilităților oferite de dezvoltarea tehnologica (dispozitive performanțe, aplicații de criptare a comunicațiilor, utilizarea </w:t>
      </w:r>
      <w:proofErr w:type="spellStart"/>
      <w:r w:rsidRPr="00AD2CCB">
        <w:rPr>
          <w:rFonts w:asciiTheme="majorHAnsi" w:eastAsia="Arial Narrow" w:hAnsiTheme="majorHAnsi" w:cstheme="majorHAnsi"/>
          <w:sz w:val="24"/>
          <w:szCs w:val="24"/>
        </w:rPr>
        <w:t>cripto</w:t>
      </w:r>
      <w:proofErr w:type="spellEnd"/>
      <w:r w:rsidRPr="00AD2CCB">
        <w:rPr>
          <w:rFonts w:asciiTheme="majorHAnsi" w:eastAsia="Arial Narrow" w:hAnsiTheme="majorHAnsi" w:cstheme="majorHAnsi"/>
          <w:sz w:val="24"/>
          <w:szCs w:val="24"/>
        </w:rPr>
        <w:t>-monedelor) în vederea disimulării/anonimizării accesului la internet, ascunderea identității reale a autorilor, în contrapondere cu accesul dificil/redus al autorităților de aplicare a legii la astfel de tehnologii;</w:t>
      </w:r>
    </w:p>
    <w:p w14:paraId="4F6987A7"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Existența elementelor de extraneitate, existența de rețele specializate doar în anumite genuri de activități infracționale,  gradul ridicat de mobilitate grupărilor transnaționale de criminalitate informatică, atât în interiorul UE cât și în afara spațiului UE;</w:t>
      </w:r>
    </w:p>
    <w:p w14:paraId="1E85FF11"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Utilizarea de servicii de genul </w:t>
      </w:r>
      <w:r w:rsidRPr="00AD2CCB">
        <w:rPr>
          <w:rFonts w:asciiTheme="majorHAnsi" w:eastAsia="Arial Narrow" w:hAnsiTheme="majorHAnsi" w:cstheme="majorHAnsi"/>
          <w:b/>
          <w:sz w:val="24"/>
          <w:szCs w:val="24"/>
        </w:rPr>
        <w:t xml:space="preserve">Crime as a service – </w:t>
      </w:r>
      <w:proofErr w:type="spellStart"/>
      <w:r w:rsidRPr="00AD2CCB">
        <w:rPr>
          <w:rFonts w:asciiTheme="majorHAnsi" w:eastAsia="Arial Narrow" w:hAnsiTheme="majorHAnsi" w:cstheme="majorHAnsi"/>
          <w:b/>
          <w:sz w:val="24"/>
          <w:szCs w:val="24"/>
        </w:rPr>
        <w:t>CaaS</w:t>
      </w:r>
      <w:proofErr w:type="spellEnd"/>
      <w:r w:rsidRPr="00AD2CCB">
        <w:rPr>
          <w:rFonts w:asciiTheme="majorHAnsi" w:eastAsia="Arial" w:hAnsiTheme="majorHAnsi" w:cstheme="majorHAnsi"/>
          <w:sz w:val="24"/>
          <w:szCs w:val="24"/>
        </w:rPr>
        <w:t xml:space="preserve">, accesul facil la astfel de servicii și </w:t>
      </w:r>
      <w:proofErr w:type="spellStart"/>
      <w:r w:rsidRPr="00AD2CCB">
        <w:rPr>
          <w:rFonts w:asciiTheme="majorHAnsi" w:eastAsia="Arial" w:hAnsiTheme="majorHAnsi" w:cstheme="majorHAnsi"/>
          <w:sz w:val="24"/>
          <w:szCs w:val="24"/>
        </w:rPr>
        <w:t>Darknet</w:t>
      </w:r>
      <w:proofErr w:type="spellEnd"/>
      <w:r w:rsidRPr="00AD2CCB">
        <w:rPr>
          <w:rFonts w:asciiTheme="majorHAnsi" w:eastAsia="Arial" w:hAnsiTheme="majorHAnsi" w:cstheme="majorHAnsi"/>
          <w:sz w:val="24"/>
          <w:szCs w:val="24"/>
        </w:rPr>
        <w:t xml:space="preserve"> pentru persoane/autori care nu au nevoie de cunoștințe tehnice  avansate pentru a se implica în infracțiuni informatice;</w:t>
      </w:r>
    </w:p>
    <w:p w14:paraId="1596EA26"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Creșterea numărului de cazuri privind</w:t>
      </w:r>
      <w:r w:rsidRPr="00AD2CCB">
        <w:rPr>
          <w:rFonts w:asciiTheme="majorHAnsi" w:eastAsia="Arial Narrow" w:hAnsiTheme="majorHAnsi" w:cstheme="majorHAnsi"/>
          <w:b/>
          <w:sz w:val="24"/>
          <w:szCs w:val="24"/>
        </w:rPr>
        <w:t xml:space="preserve"> atacurile informatice</w:t>
      </w:r>
      <w:r w:rsidRPr="00AD2CCB">
        <w:rPr>
          <w:rFonts w:asciiTheme="majorHAnsi" w:eastAsia="Arial Narrow" w:hAnsiTheme="majorHAnsi" w:cstheme="majorHAnsi"/>
          <w:sz w:val="24"/>
          <w:szCs w:val="24"/>
        </w:rPr>
        <w:t xml:space="preserve">  de tip </w:t>
      </w:r>
      <w:proofErr w:type="spellStart"/>
      <w:r w:rsidRPr="00AD2CCB">
        <w:rPr>
          <w:rFonts w:asciiTheme="majorHAnsi" w:eastAsia="Arial Narrow" w:hAnsiTheme="majorHAnsi" w:cstheme="majorHAnsi"/>
          <w:sz w:val="24"/>
          <w:szCs w:val="24"/>
        </w:rPr>
        <w:t>ransomware</w:t>
      </w:r>
      <w:proofErr w:type="spellEnd"/>
      <w:r w:rsidRPr="00AD2CCB">
        <w:rPr>
          <w:rFonts w:asciiTheme="majorHAnsi" w:eastAsia="Arial Narrow" w:hAnsiTheme="majorHAnsi" w:cstheme="majorHAnsi"/>
          <w:sz w:val="24"/>
          <w:szCs w:val="24"/>
        </w:rPr>
        <w:t>, acest gen de atacuri sunt tot mai mult orientate spre atacuri mult mai profitabile din punct de vedere financiar și  pot provoca pagube economice majore, pe fondul existenței de rețele informatice și calculatoare fără măsuri de siguranța sau cu măsuri de siguranța învechite;</w:t>
      </w:r>
    </w:p>
    <w:p w14:paraId="59A16568"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Creșterea numărului de infracțiuni cu carduri bancare săvârșite pe teritoriul României şi al celor comise în străinătate de cetățenii români, prin confecționarea şi folosirea echipamentelor de </w:t>
      </w:r>
      <w:proofErr w:type="spellStart"/>
      <w:r w:rsidRPr="00AD2CCB">
        <w:rPr>
          <w:rFonts w:asciiTheme="majorHAnsi" w:eastAsia="Arial Narrow" w:hAnsiTheme="majorHAnsi" w:cstheme="majorHAnsi"/>
          <w:b/>
          <w:sz w:val="24"/>
          <w:szCs w:val="24"/>
        </w:rPr>
        <w:t>skimming</w:t>
      </w:r>
      <w:proofErr w:type="spellEnd"/>
      <w:r w:rsidRPr="00AD2CCB">
        <w:rPr>
          <w:rFonts w:asciiTheme="majorHAnsi" w:eastAsia="Arial Narrow" w:hAnsiTheme="majorHAnsi" w:cstheme="majorHAnsi"/>
          <w:b/>
          <w:sz w:val="24"/>
          <w:szCs w:val="24"/>
        </w:rPr>
        <w:t xml:space="preserve">/fraudarea </w:t>
      </w:r>
      <w:proofErr w:type="spellStart"/>
      <w:r w:rsidRPr="00AD2CCB">
        <w:rPr>
          <w:rFonts w:asciiTheme="majorHAnsi" w:eastAsia="Arial Narrow" w:hAnsiTheme="majorHAnsi" w:cstheme="majorHAnsi"/>
          <w:b/>
          <w:sz w:val="24"/>
          <w:szCs w:val="24"/>
        </w:rPr>
        <w:t>tranzacţiilor</w:t>
      </w:r>
      <w:proofErr w:type="spellEnd"/>
      <w:r w:rsidRPr="00AD2CCB">
        <w:rPr>
          <w:rFonts w:asciiTheme="majorHAnsi" w:eastAsia="Arial Narrow" w:hAnsiTheme="majorHAnsi" w:cstheme="majorHAnsi"/>
          <w:b/>
          <w:sz w:val="24"/>
          <w:szCs w:val="24"/>
        </w:rPr>
        <w:t xml:space="preserve"> efectuate la ATM-uri şi POS-uri</w:t>
      </w:r>
      <w:r w:rsidRPr="00AD2CCB">
        <w:rPr>
          <w:rFonts w:asciiTheme="majorHAnsi" w:eastAsia="Arial Narrow" w:hAnsiTheme="majorHAnsi" w:cstheme="majorHAnsi"/>
          <w:sz w:val="24"/>
          <w:szCs w:val="24"/>
        </w:rPr>
        <w:t xml:space="preserve"> sau </w:t>
      </w:r>
      <w:proofErr w:type="spellStart"/>
      <w:r w:rsidRPr="00AD2CCB">
        <w:rPr>
          <w:rFonts w:asciiTheme="majorHAnsi" w:eastAsia="Arial Narrow" w:hAnsiTheme="majorHAnsi" w:cstheme="majorHAnsi"/>
          <w:sz w:val="24"/>
          <w:szCs w:val="24"/>
        </w:rPr>
        <w:t>sau</w:t>
      </w:r>
      <w:proofErr w:type="spellEnd"/>
      <w:r w:rsidRPr="00AD2CCB">
        <w:rPr>
          <w:rFonts w:asciiTheme="majorHAnsi" w:eastAsia="Arial Narrow" w:hAnsiTheme="majorHAnsi" w:cstheme="majorHAnsi"/>
          <w:sz w:val="24"/>
          <w:szCs w:val="24"/>
        </w:rPr>
        <w:t xml:space="preserve"> utilizarea de noi moduri de operare care vizează compromiterea securității informatice a ATM -urilor sau chiar declanșarea unor atacuri informatice care vizează rețelele informatice ale instituțiilor bancare în scopul sustragerii de sume importante de bani;</w:t>
      </w:r>
    </w:p>
    <w:p w14:paraId="1FBC2A10"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Creșterea numărului de accesări neautorizate ale adreselor de </w:t>
      </w:r>
      <w:proofErr w:type="spellStart"/>
      <w:r w:rsidRPr="00AD2CCB">
        <w:rPr>
          <w:rFonts w:asciiTheme="majorHAnsi" w:eastAsia="Arial Narrow" w:hAnsiTheme="majorHAnsi" w:cstheme="majorHAnsi"/>
          <w:sz w:val="24"/>
          <w:szCs w:val="24"/>
        </w:rPr>
        <w:t>poştă</w:t>
      </w:r>
      <w:proofErr w:type="spellEnd"/>
      <w:r w:rsidRPr="00AD2CCB">
        <w:rPr>
          <w:rFonts w:asciiTheme="majorHAnsi" w:eastAsia="Arial Narrow" w:hAnsiTheme="majorHAnsi" w:cstheme="majorHAnsi"/>
          <w:sz w:val="24"/>
          <w:szCs w:val="24"/>
        </w:rPr>
        <w:t xml:space="preserve"> electronică ale persoanelor private, instituțiilor publice sau întreprinderilor private, în scopul săvârșirii de fraude informatice, creșterea numărului de cazuri de </w:t>
      </w:r>
      <w:r w:rsidRPr="00AD2CCB">
        <w:rPr>
          <w:rFonts w:asciiTheme="majorHAnsi" w:eastAsia="Arial Narrow" w:hAnsiTheme="majorHAnsi" w:cstheme="majorHAnsi"/>
          <w:b/>
          <w:sz w:val="24"/>
          <w:szCs w:val="24"/>
        </w:rPr>
        <w:t>fraude de tip BEC</w:t>
      </w:r>
      <w:r w:rsidRPr="00AD2CCB">
        <w:rPr>
          <w:rFonts w:asciiTheme="majorHAnsi" w:eastAsia="Arial Narrow" w:hAnsiTheme="majorHAnsi" w:cstheme="majorHAnsi"/>
          <w:sz w:val="24"/>
          <w:szCs w:val="24"/>
        </w:rPr>
        <w:t xml:space="preserve"> (Business Email Compromise), în urma cărora sunt fraudate companii din România;</w:t>
      </w:r>
    </w:p>
    <w:p w14:paraId="10A67524" w14:textId="77777777" w:rsidR="00AD2CCB" w:rsidRPr="00AD2CCB" w:rsidRDefault="00AD2CCB" w:rsidP="00C34469">
      <w:pPr>
        <w:spacing w:after="120" w:line="240" w:lineRule="auto"/>
        <w:ind w:left="20" w:hanging="10"/>
        <w:jc w:val="both"/>
        <w:rPr>
          <w:rFonts w:asciiTheme="majorHAnsi" w:eastAsia="Arial Narrow" w:hAnsiTheme="majorHAnsi" w:cstheme="majorHAnsi"/>
          <w:b/>
          <w:sz w:val="24"/>
          <w:szCs w:val="24"/>
        </w:rPr>
      </w:pPr>
      <w:r w:rsidRPr="00AD2CCB">
        <w:rPr>
          <w:rFonts w:asciiTheme="majorHAnsi" w:eastAsia="Arial Narrow" w:hAnsiTheme="majorHAnsi" w:cstheme="majorHAnsi"/>
          <w:sz w:val="24"/>
          <w:szCs w:val="24"/>
        </w:rPr>
        <w:t xml:space="preserve">- Dezvoltarea de legături infracționale între grupările infracționale organizate și entități statale sau non statale și inițiere de atacuri informatice asupra instituțiilor private și de stat, sau asupra infrastructurilor informatice critice, în vederea obținerii de date informatice confidențiale, sau producerea de pagube majore - criminalitatea informatică ca forma de manifestare a războiului hibrid, inclusiv </w:t>
      </w:r>
      <w:proofErr w:type="spellStart"/>
      <w:r w:rsidRPr="00AD2CCB">
        <w:rPr>
          <w:rFonts w:asciiTheme="majorHAnsi" w:eastAsia="Arial Narrow" w:hAnsiTheme="majorHAnsi" w:cstheme="majorHAnsi"/>
          <w:b/>
          <w:sz w:val="24"/>
          <w:szCs w:val="24"/>
        </w:rPr>
        <w:t>cyber</w:t>
      </w:r>
      <w:proofErr w:type="spellEnd"/>
      <w:r w:rsidRPr="00AD2CCB">
        <w:rPr>
          <w:rFonts w:asciiTheme="majorHAnsi" w:eastAsia="Arial Narrow" w:hAnsiTheme="majorHAnsi" w:cstheme="majorHAnsi"/>
          <w:b/>
          <w:sz w:val="24"/>
          <w:szCs w:val="24"/>
        </w:rPr>
        <w:t>-terorism</w:t>
      </w:r>
    </w:p>
    <w:p w14:paraId="5CE8AAF0"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 xml:space="preserve">-  Utilizarea monedei virtuale în tranzacțiile financiare, în activități de </w:t>
      </w:r>
      <w:r w:rsidRPr="00AD2CCB">
        <w:rPr>
          <w:rFonts w:asciiTheme="majorHAnsi" w:eastAsia="Arial Narrow" w:hAnsiTheme="majorHAnsi" w:cstheme="majorHAnsi"/>
          <w:b/>
          <w:sz w:val="24"/>
          <w:szCs w:val="24"/>
        </w:rPr>
        <w:t>spălare a banilo</w:t>
      </w:r>
      <w:r w:rsidRPr="00AD2CCB">
        <w:rPr>
          <w:rFonts w:asciiTheme="majorHAnsi" w:eastAsia="Arial Narrow" w:hAnsiTheme="majorHAnsi" w:cstheme="majorHAnsi"/>
          <w:sz w:val="24"/>
          <w:szCs w:val="24"/>
        </w:rPr>
        <w:t>r și disimularea provenienței produsului financiar ilicit, raportat la posibilitățile reduse de investigare a autorităților de aplicare a legii;</w:t>
      </w:r>
    </w:p>
    <w:p w14:paraId="64F29041"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Trendul ascendent al </w:t>
      </w:r>
      <w:r w:rsidRPr="00AD2CCB">
        <w:rPr>
          <w:rFonts w:asciiTheme="majorHAnsi" w:eastAsia="Arial Narrow" w:hAnsiTheme="majorHAnsi" w:cstheme="majorHAnsi"/>
          <w:b/>
          <w:sz w:val="24"/>
          <w:szCs w:val="24"/>
        </w:rPr>
        <w:t>pornografiei infantile prin sisteme informatice</w:t>
      </w:r>
      <w:r w:rsidRPr="00AD2CCB">
        <w:rPr>
          <w:rFonts w:asciiTheme="majorHAnsi" w:eastAsia="Arial Narrow" w:hAnsiTheme="majorHAnsi" w:cstheme="majorHAnsi"/>
          <w:sz w:val="24"/>
          <w:szCs w:val="24"/>
        </w:rPr>
        <w:t xml:space="preserve">. Se observă o creștere a numărului de cazuri generate  de accesului facil la tehnologie atât al infractorilor cat și al victimelor (în special în cazul auto producerii de material pornografic), dar și apariția noilor moduri de operare – </w:t>
      </w:r>
      <w:proofErr w:type="spellStart"/>
      <w:r w:rsidRPr="00AD2CCB">
        <w:rPr>
          <w:rFonts w:asciiTheme="majorHAnsi" w:eastAsia="Arial Narrow" w:hAnsiTheme="majorHAnsi" w:cstheme="majorHAnsi"/>
          <w:sz w:val="24"/>
          <w:szCs w:val="24"/>
        </w:rPr>
        <w:t>livestreaming</w:t>
      </w:r>
      <w:proofErr w:type="spellEnd"/>
      <w:r w:rsidRPr="00AD2CCB">
        <w:rPr>
          <w:rFonts w:asciiTheme="majorHAnsi" w:eastAsia="Arial Narrow" w:hAnsiTheme="majorHAnsi" w:cstheme="majorHAnsi"/>
          <w:sz w:val="24"/>
          <w:szCs w:val="24"/>
        </w:rPr>
        <w:t>, crearea de grupuri închise, dedicate prin intermediul diferitelor aplicații de social media (</w:t>
      </w:r>
      <w:proofErr w:type="spellStart"/>
      <w:r w:rsidRPr="00AD2CCB">
        <w:rPr>
          <w:rFonts w:asciiTheme="majorHAnsi" w:eastAsia="Arial Narrow" w:hAnsiTheme="majorHAnsi" w:cstheme="majorHAnsi"/>
          <w:sz w:val="24"/>
          <w:szCs w:val="24"/>
        </w:rPr>
        <w:t>Instagram</w:t>
      </w:r>
      <w:proofErr w:type="spellEnd"/>
      <w:r w:rsidRPr="00AD2CCB">
        <w:rPr>
          <w:rFonts w:asciiTheme="majorHAnsi" w:eastAsia="Arial Narrow" w:hAnsiTheme="majorHAnsi" w:cstheme="majorHAnsi"/>
          <w:sz w:val="24"/>
          <w:szCs w:val="24"/>
        </w:rPr>
        <w:t xml:space="preserve">, Telegram, </w:t>
      </w:r>
      <w:proofErr w:type="spellStart"/>
      <w:r w:rsidRPr="00AD2CCB">
        <w:rPr>
          <w:rFonts w:asciiTheme="majorHAnsi" w:eastAsia="Arial Narrow" w:hAnsiTheme="majorHAnsi" w:cstheme="majorHAnsi"/>
          <w:sz w:val="24"/>
          <w:szCs w:val="24"/>
        </w:rPr>
        <w:t>WhatsApp</w:t>
      </w:r>
      <w:proofErr w:type="spellEnd"/>
      <w:r w:rsidRPr="00AD2CCB">
        <w:rPr>
          <w:rFonts w:asciiTheme="majorHAnsi" w:eastAsia="Arial Narrow" w:hAnsiTheme="majorHAnsi" w:cstheme="majorHAnsi"/>
          <w:sz w:val="24"/>
          <w:szCs w:val="24"/>
        </w:rPr>
        <w:t>) ;</w:t>
      </w:r>
    </w:p>
    <w:p w14:paraId="4894EA00"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contextul </w:t>
      </w:r>
      <w:r w:rsidRPr="00AD2CCB">
        <w:rPr>
          <w:rFonts w:asciiTheme="majorHAnsi" w:eastAsia="Arial Narrow" w:hAnsiTheme="majorHAnsi" w:cstheme="majorHAnsi"/>
          <w:b/>
          <w:sz w:val="24"/>
          <w:szCs w:val="24"/>
        </w:rPr>
        <w:t xml:space="preserve">transpunerii Directivei NIS </w:t>
      </w:r>
      <w:r w:rsidRPr="00AD2CCB">
        <w:rPr>
          <w:rFonts w:asciiTheme="majorHAnsi" w:eastAsia="Arial Narrow" w:hAnsiTheme="majorHAnsi" w:cstheme="majorHAnsi"/>
          <w:sz w:val="24"/>
          <w:szCs w:val="24"/>
        </w:rPr>
        <w:t xml:space="preserve">(Directiva UE 2016/1148) este preconizată o creștere a nivelului de sesizări cu privire la incidente de securitate cibernetică, raportate de către furnizorii și operatorii de servicii digitale din cele 7 sectoare de activitate economică, printre care: piețe online, motoare de căutare online și servicii de </w:t>
      </w:r>
      <w:proofErr w:type="spellStart"/>
      <w:r w:rsidRPr="00AD2CCB">
        <w:rPr>
          <w:rFonts w:asciiTheme="majorHAnsi" w:eastAsia="Arial Narrow" w:hAnsiTheme="majorHAnsi" w:cstheme="majorHAnsi"/>
          <w:sz w:val="24"/>
          <w:szCs w:val="24"/>
        </w:rPr>
        <w:t>claud</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computing</w:t>
      </w:r>
      <w:proofErr w:type="spellEnd"/>
      <w:r w:rsidRPr="00AD2CCB">
        <w:rPr>
          <w:rFonts w:asciiTheme="majorHAnsi" w:eastAsia="Arial Narrow" w:hAnsiTheme="majorHAnsi" w:cstheme="majorHAnsi"/>
          <w:sz w:val="24"/>
          <w:szCs w:val="24"/>
        </w:rPr>
        <w:t>. Aceste incidente pot periclita grav securitatea în mediul online la nivelul statelor membre UE.</w:t>
      </w:r>
    </w:p>
    <w:p w14:paraId="13E1DA6B"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b/>
          <w:sz w:val="24"/>
          <w:szCs w:val="24"/>
        </w:rPr>
        <w:t>Traficul de persoane</w:t>
      </w:r>
      <w:r w:rsidRPr="00AD2CCB">
        <w:rPr>
          <w:rFonts w:asciiTheme="majorHAnsi" w:eastAsia="Arial Narrow" w:hAnsiTheme="majorHAnsi" w:cstheme="majorHAnsi"/>
          <w:sz w:val="24"/>
          <w:szCs w:val="24"/>
        </w:rPr>
        <w:t xml:space="preserve"> a înregistrat o creștere în ultima perioada, în contextul fluxului de migrație înregistrat în UE având ca sursă principală de proveniență regiunile afectate de conflictele  militare din Orientul Mijlociu, Asia și Africa </w:t>
      </w:r>
      <w:proofErr w:type="spellStart"/>
      <w:r w:rsidRPr="00AD2CCB">
        <w:rPr>
          <w:rFonts w:asciiTheme="majorHAnsi" w:eastAsia="Arial Narrow" w:hAnsiTheme="majorHAnsi" w:cstheme="majorHAnsi"/>
          <w:sz w:val="24"/>
          <w:szCs w:val="24"/>
        </w:rPr>
        <w:t>Subsahariană</w:t>
      </w:r>
      <w:proofErr w:type="spellEnd"/>
      <w:r w:rsidRPr="00AD2CCB">
        <w:rPr>
          <w:rFonts w:asciiTheme="majorHAnsi" w:eastAsia="Arial Narrow" w:hAnsiTheme="majorHAnsi" w:cstheme="majorHAnsi"/>
          <w:sz w:val="24"/>
          <w:szCs w:val="24"/>
        </w:rPr>
        <w:t xml:space="preserve">. Totodată, s-au dezvoltat și o serie de mutații în tiparul de derulare a acestui tip de infracțiune, cu implicații pentru situația României. Un exemplu este dat de reprofilarea unor rețele infracționale transnaționale, specializate în contrabanda cu produse din tutun sau traficul de produse contrafăcute, pe activități de trafic de </w:t>
      </w:r>
      <w:proofErr w:type="spellStart"/>
      <w:r w:rsidRPr="00AD2CCB">
        <w:rPr>
          <w:rFonts w:asciiTheme="majorHAnsi" w:eastAsia="Arial Narrow" w:hAnsiTheme="majorHAnsi" w:cstheme="majorHAnsi"/>
          <w:sz w:val="24"/>
          <w:szCs w:val="24"/>
        </w:rPr>
        <w:t>migranți</w:t>
      </w:r>
      <w:proofErr w:type="spellEnd"/>
      <w:r w:rsidRPr="00AD2CCB">
        <w:rPr>
          <w:rFonts w:asciiTheme="majorHAnsi" w:eastAsia="Arial Narrow" w:hAnsiTheme="majorHAnsi" w:cstheme="majorHAnsi"/>
          <w:sz w:val="24"/>
          <w:szCs w:val="24"/>
        </w:rPr>
        <w:t xml:space="preserve"> și, în unele cazuri, de trafic de persoane pentru exploatarea sexuală sau prin muncă.</w:t>
      </w:r>
    </w:p>
    <w:p w14:paraId="5A84FB3C"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Acțiunile de combatere a traficului de persoane vor fi complementare acțiunilor de </w:t>
      </w:r>
      <w:r w:rsidRPr="00AD2CCB">
        <w:rPr>
          <w:rFonts w:asciiTheme="majorHAnsi" w:eastAsia="Arial Narrow" w:hAnsiTheme="majorHAnsi" w:cstheme="majorHAnsi"/>
          <w:b/>
          <w:sz w:val="24"/>
          <w:szCs w:val="24"/>
        </w:rPr>
        <w:t xml:space="preserve">prevenire </w:t>
      </w:r>
      <w:r w:rsidRPr="00AD2CCB">
        <w:rPr>
          <w:rFonts w:asciiTheme="majorHAnsi" w:eastAsia="Arial Narrow" w:hAnsiTheme="majorHAnsi" w:cstheme="majorHAnsi"/>
          <w:sz w:val="24"/>
          <w:szCs w:val="24"/>
        </w:rPr>
        <w:t xml:space="preserve">a acestui fenomen, în conformitate cu prevederile Directivei 36/2011 </w:t>
      </w:r>
      <w:r w:rsidRPr="00AD2CCB">
        <w:rPr>
          <w:rFonts w:asciiTheme="majorHAnsi" w:eastAsia="Arial" w:hAnsiTheme="majorHAnsi" w:cstheme="majorHAnsi"/>
          <w:i/>
          <w:sz w:val="24"/>
          <w:szCs w:val="24"/>
        </w:rPr>
        <w:t>privind prevenirea și combaterea traficului de persoane și protejarea victimelor acestuia.</w:t>
      </w:r>
      <w:r w:rsidRPr="00AD2CCB">
        <w:rPr>
          <w:rFonts w:asciiTheme="majorHAnsi" w:eastAsia="Arial Narrow" w:hAnsiTheme="majorHAnsi" w:cstheme="majorHAnsi"/>
          <w:sz w:val="24"/>
          <w:szCs w:val="24"/>
        </w:rPr>
        <w:t xml:space="preserve"> România a notificat transpunerea în termen a prevederilor Directivei 36/2011 iar activitățile de prevenire, combatere și asistență a victimelor se desfășoară în conformitate cu prevederile acesteia. În perioada 2014 – 2020, un accent deosebit s-a pus pe adoptarea unor măsuri de descurajare și reducere a cererii care favorizează toate formele de exploatare și pe măsuri de reducere a riscului ca oamenii să devină victime ale traficului de persoane.</w:t>
      </w:r>
    </w:p>
    <w:p w14:paraId="3AA707C3"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Și în domeniul </w:t>
      </w:r>
      <w:r w:rsidRPr="00AD2CCB">
        <w:rPr>
          <w:rFonts w:asciiTheme="majorHAnsi" w:eastAsia="Arial" w:hAnsiTheme="majorHAnsi" w:cstheme="majorHAnsi"/>
          <w:b/>
          <w:sz w:val="24"/>
          <w:szCs w:val="24"/>
        </w:rPr>
        <w:t>protecției martorilor</w:t>
      </w:r>
      <w:r w:rsidRPr="00AD2CCB">
        <w:rPr>
          <w:rFonts w:asciiTheme="majorHAnsi" w:eastAsia="Arial Narrow" w:hAnsiTheme="majorHAnsi" w:cstheme="majorHAnsi"/>
          <w:sz w:val="24"/>
          <w:szCs w:val="24"/>
        </w:rPr>
        <w:t xml:space="preserve"> România intenționează sa înregistreze progrese și își propune să răspundă provocărilor legate de operaționalizarea pachetului de interoperabilitate ce presupune asocierea datelor </w:t>
      </w:r>
      <w:proofErr w:type="spellStart"/>
      <w:r w:rsidRPr="00AD2CCB">
        <w:rPr>
          <w:rFonts w:asciiTheme="majorHAnsi" w:eastAsia="Arial Narrow" w:hAnsiTheme="majorHAnsi" w:cstheme="majorHAnsi"/>
          <w:sz w:val="24"/>
          <w:szCs w:val="24"/>
        </w:rPr>
        <w:t>biometrice</w:t>
      </w:r>
      <w:proofErr w:type="spellEnd"/>
      <w:r w:rsidRPr="00AD2CCB">
        <w:rPr>
          <w:rFonts w:asciiTheme="majorHAnsi" w:eastAsia="Arial Narrow" w:hAnsiTheme="majorHAnsi" w:cstheme="majorHAnsi"/>
          <w:sz w:val="24"/>
          <w:szCs w:val="24"/>
        </w:rPr>
        <w:t xml:space="preserve"> cu cele personale. În acest context, schimbarea identității martorilor protejați nu va mai fi suficientă pentru protejarea martorilor întrucât parametrii faciali (necesari componentei facial </w:t>
      </w:r>
      <w:proofErr w:type="spellStart"/>
      <w:r w:rsidRPr="00AD2CCB">
        <w:rPr>
          <w:rFonts w:asciiTheme="majorHAnsi" w:eastAsia="Arial Narrow" w:hAnsiTheme="majorHAnsi" w:cstheme="majorHAnsi"/>
          <w:sz w:val="24"/>
          <w:szCs w:val="24"/>
        </w:rPr>
        <w:t>recognition</w:t>
      </w:r>
      <w:proofErr w:type="spellEnd"/>
      <w:r w:rsidRPr="00AD2CCB">
        <w:rPr>
          <w:rFonts w:asciiTheme="majorHAnsi" w:eastAsia="Arial Narrow" w:hAnsiTheme="majorHAnsi" w:cstheme="majorHAnsi"/>
          <w:sz w:val="24"/>
          <w:szCs w:val="24"/>
        </w:rPr>
        <w:t>), datele digital-palmare (amprente) precum și orice alte informații similare sunt asociate datelor cu caracter personal.</w:t>
      </w:r>
    </w:p>
    <w:p w14:paraId="34E18AF3"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Printre direcțiile de acțiune prevăzute în Strategia Națională de Apărare a Țării 2020 -  2024 se numără și </w:t>
      </w:r>
      <w:r w:rsidRPr="00AD2CCB">
        <w:rPr>
          <w:rFonts w:asciiTheme="majorHAnsi" w:eastAsia="Arial Narrow" w:hAnsiTheme="majorHAnsi" w:cstheme="majorHAnsi"/>
          <w:b/>
          <w:sz w:val="24"/>
          <w:szCs w:val="24"/>
        </w:rPr>
        <w:t>dezvoltarea cooperării internaționale</w:t>
      </w:r>
      <w:r w:rsidRPr="00AD2CCB">
        <w:rPr>
          <w:rFonts w:asciiTheme="majorHAnsi" w:eastAsia="Arial Narrow" w:hAnsiTheme="majorHAnsi" w:cstheme="majorHAnsi"/>
          <w:sz w:val="24"/>
          <w:szCs w:val="24"/>
        </w:rPr>
        <w:t xml:space="preserve"> atât în formatele de cooperare regională (</w:t>
      </w:r>
      <w:proofErr w:type="spellStart"/>
      <w:r w:rsidRPr="00AD2CCB">
        <w:rPr>
          <w:rFonts w:asciiTheme="majorHAnsi" w:eastAsia="Arial Narrow" w:hAnsiTheme="majorHAnsi" w:cstheme="majorHAnsi"/>
          <w:sz w:val="24"/>
          <w:szCs w:val="24"/>
        </w:rPr>
        <w:t>Convenţia</w:t>
      </w:r>
      <w:proofErr w:type="spellEnd"/>
      <w:r w:rsidRPr="00AD2CCB">
        <w:rPr>
          <w:rFonts w:asciiTheme="majorHAnsi" w:eastAsia="Arial Narrow" w:hAnsiTheme="majorHAnsi" w:cstheme="majorHAnsi"/>
          <w:sz w:val="24"/>
          <w:szCs w:val="24"/>
        </w:rPr>
        <w:t xml:space="preserve"> de cooperare </w:t>
      </w:r>
      <w:proofErr w:type="spellStart"/>
      <w:r w:rsidRPr="00AD2CCB">
        <w:rPr>
          <w:rFonts w:asciiTheme="majorHAnsi" w:eastAsia="Arial Narrow" w:hAnsiTheme="majorHAnsi" w:cstheme="majorHAnsi"/>
          <w:sz w:val="24"/>
          <w:szCs w:val="24"/>
        </w:rPr>
        <w:t>poliţienească</w:t>
      </w:r>
      <w:proofErr w:type="spellEnd"/>
      <w:r w:rsidRPr="00AD2CCB">
        <w:rPr>
          <w:rFonts w:asciiTheme="majorHAnsi" w:eastAsia="Arial Narrow" w:hAnsiTheme="majorHAnsi" w:cstheme="majorHAnsi"/>
          <w:sz w:val="24"/>
          <w:szCs w:val="24"/>
        </w:rPr>
        <w:t xml:space="preserve"> din Europa de Sud-Est, Asociația Șefilor de Poliție din Europa de Sud-Est), cât şi în cele din cadrul UE (EUROPOL, </w:t>
      </w:r>
      <w:proofErr w:type="spellStart"/>
      <w:r w:rsidRPr="00AD2CCB">
        <w:rPr>
          <w:rFonts w:asciiTheme="majorHAnsi" w:eastAsia="Arial Narrow" w:hAnsiTheme="majorHAnsi" w:cstheme="majorHAnsi"/>
          <w:sz w:val="24"/>
          <w:szCs w:val="24"/>
        </w:rPr>
        <w:t>Agenţia</w:t>
      </w:r>
      <w:proofErr w:type="spellEnd"/>
      <w:r w:rsidRPr="00AD2CCB">
        <w:rPr>
          <w:rFonts w:asciiTheme="majorHAnsi" w:eastAsia="Arial Narrow" w:hAnsiTheme="majorHAnsi" w:cstheme="majorHAnsi"/>
          <w:sz w:val="24"/>
          <w:szCs w:val="24"/>
        </w:rPr>
        <w:t xml:space="preserve"> FRONTEX), în vederea combaterii criminalității organizate transnaționale.</w:t>
      </w:r>
    </w:p>
    <w:p w14:paraId="4B9C4E37"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Totodată, România va continua să participe în cadrul Proiectului</w:t>
      </w:r>
      <w:r w:rsidRPr="00AD2CCB">
        <w:rPr>
          <w:rFonts w:asciiTheme="majorHAnsi" w:eastAsia="Arial Narrow" w:hAnsiTheme="majorHAnsi" w:cstheme="majorHAnsi"/>
          <w:b/>
          <w:sz w:val="24"/>
          <w:szCs w:val="24"/>
        </w:rPr>
        <w:t xml:space="preserve"> EMPACT,</w:t>
      </w:r>
      <w:r w:rsidRPr="00AD2CCB">
        <w:rPr>
          <w:rFonts w:asciiTheme="majorHAnsi" w:eastAsia="Arial Narrow" w:hAnsiTheme="majorHAnsi" w:cstheme="majorHAnsi"/>
          <w:sz w:val="24"/>
          <w:szCs w:val="24"/>
        </w:rPr>
        <w:t xml:space="preserve"> în viitorul ciclu de politici  2021-2024, susținând dezvoltarea structurilor de combatere a criminalității  organizate.</w:t>
      </w:r>
    </w:p>
    <w:p w14:paraId="467167D3"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În contextul transpunerii în legislația din România a prevederilor articolelor 14 și 16 din cadrul Directivei 2019/713 privind </w:t>
      </w:r>
      <w:r w:rsidRPr="00AD2CCB">
        <w:rPr>
          <w:rFonts w:asciiTheme="majorHAnsi" w:eastAsia="Arial Narrow" w:hAnsiTheme="majorHAnsi" w:cstheme="majorHAnsi"/>
          <w:b/>
          <w:sz w:val="24"/>
          <w:szCs w:val="24"/>
        </w:rPr>
        <w:t>combaterea fraudelor şi a contrafacerii</w:t>
      </w:r>
      <w:r w:rsidRPr="00AD2CCB">
        <w:rPr>
          <w:rFonts w:asciiTheme="majorHAnsi" w:eastAsia="Arial Narrow" w:hAnsiTheme="majorHAnsi" w:cstheme="majorHAnsi"/>
          <w:sz w:val="24"/>
          <w:szCs w:val="24"/>
        </w:rPr>
        <w:t xml:space="preserve"> în legătură cu mijloacele de plată fără numerar, structurile de combatere a criminalității informatice vor fi implicate în soluționarea cât mai urgentă a cererilor de asistență și cooperare în domeniul combaterii fraudelor cu instrumente de plata electronică, sosite prin punctele de contact 24/7, prevăzute în art. 14 din Directiva, și totodată vor fi implicate în soluționarea plângerilor transmise de victimele acestui gen de infracțiuni conform art. 16 din aceeași Directiva.</w:t>
      </w:r>
    </w:p>
    <w:p w14:paraId="07A8ED50"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În domeniul</w:t>
      </w:r>
      <w:r w:rsidRPr="00AD2CCB">
        <w:rPr>
          <w:rFonts w:asciiTheme="majorHAnsi" w:eastAsia="Arial Narrow" w:hAnsiTheme="majorHAnsi" w:cstheme="majorHAnsi"/>
          <w:b/>
          <w:sz w:val="24"/>
          <w:szCs w:val="24"/>
        </w:rPr>
        <w:t xml:space="preserve"> interoperabilității / schimbului de informații,</w:t>
      </w:r>
      <w:r w:rsidRPr="00AD2CCB">
        <w:rPr>
          <w:rFonts w:asciiTheme="majorHAnsi" w:eastAsia="Arial Narrow" w:hAnsiTheme="majorHAnsi" w:cstheme="majorHAnsi"/>
          <w:sz w:val="24"/>
          <w:szCs w:val="24"/>
        </w:rPr>
        <w:t xml:space="preserve"> Fondul va aborda principalele provocări și domenii de acțiune identificate pe baza </w:t>
      </w:r>
      <w:proofErr w:type="spellStart"/>
      <w:r w:rsidRPr="00AD2CCB">
        <w:rPr>
          <w:rFonts w:asciiTheme="majorHAnsi" w:eastAsia="Arial Narrow" w:hAnsiTheme="majorHAnsi" w:cstheme="majorHAnsi"/>
          <w:i/>
          <w:sz w:val="24"/>
          <w:szCs w:val="24"/>
        </w:rPr>
        <w:t>Masterplan</w:t>
      </w:r>
      <w:proofErr w:type="spellEnd"/>
      <w:r w:rsidRPr="00AD2CCB">
        <w:rPr>
          <w:rFonts w:asciiTheme="majorHAnsi" w:eastAsia="Arial Narrow" w:hAnsiTheme="majorHAnsi" w:cstheme="majorHAnsi"/>
          <w:i/>
          <w:sz w:val="24"/>
          <w:szCs w:val="24"/>
        </w:rPr>
        <w:t>-ului pentru implementarea noii arhitecturi a sistemelor de informații pentru securitate și frontieră</w:t>
      </w:r>
      <w:r w:rsidRPr="00AD2CCB">
        <w:rPr>
          <w:rFonts w:asciiTheme="majorHAnsi" w:eastAsia="Arial Narrow" w:hAnsiTheme="majorHAnsi" w:cstheme="majorHAnsi"/>
          <w:sz w:val="24"/>
          <w:szCs w:val="24"/>
        </w:rPr>
        <w:t xml:space="preserve">. Totodată, în România se va pune în continuare accent pe implementarea Directivei 681/2016 privind utilizarea datelor din registrul cu numele pasagerilor (PNR).  România a înregistrat progrese semnificative, finanțarea FSI 2014 – 2020 fiind utilizată pentru modernizarea soluției informatice, creșterii numărul de transportatori aerieni care transmit date PNR și realizării unei soluții de </w:t>
      </w:r>
      <w:proofErr w:type="spellStart"/>
      <w:r w:rsidRPr="00AD2CCB">
        <w:rPr>
          <w:rFonts w:asciiTheme="majorHAnsi" w:eastAsia="Arial Narrow" w:hAnsiTheme="majorHAnsi" w:cstheme="majorHAnsi"/>
          <w:sz w:val="24"/>
          <w:szCs w:val="24"/>
        </w:rPr>
        <w:t>Disaster</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Recovery</w:t>
      </w:r>
      <w:proofErr w:type="spellEnd"/>
      <w:r w:rsidRPr="00AD2CCB">
        <w:rPr>
          <w:rFonts w:asciiTheme="majorHAnsi" w:eastAsia="Arial Narrow" w:hAnsiTheme="majorHAnsi" w:cstheme="majorHAnsi"/>
          <w:sz w:val="24"/>
          <w:szCs w:val="24"/>
        </w:rPr>
        <w:t xml:space="preserve">. </w:t>
      </w:r>
    </w:p>
    <w:p w14:paraId="76A4B980"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Conform Raportului de țară România 2019 -</w:t>
      </w:r>
      <w:r w:rsidRPr="00AD2CCB">
        <w:rPr>
          <w:rFonts w:asciiTheme="majorHAnsi" w:eastAsia="Arial Narrow" w:hAnsiTheme="majorHAnsi" w:cstheme="majorHAnsi"/>
          <w:b/>
          <w:sz w:val="24"/>
          <w:szCs w:val="24"/>
        </w:rPr>
        <w:t xml:space="preserve"> Semestrul European</w:t>
      </w:r>
      <w:r w:rsidRPr="00AD2CCB">
        <w:rPr>
          <w:rFonts w:asciiTheme="majorHAnsi" w:eastAsia="Arial Narrow" w:hAnsiTheme="majorHAnsi" w:cstheme="majorHAnsi"/>
          <w:sz w:val="24"/>
          <w:szCs w:val="24"/>
        </w:rPr>
        <w:t xml:space="preserve"> 2019, </w:t>
      </w:r>
      <w:r w:rsidRPr="00AD2CCB">
        <w:rPr>
          <w:rFonts w:asciiTheme="majorHAnsi" w:eastAsia="Arial" w:hAnsiTheme="majorHAnsi" w:cstheme="majorHAnsi"/>
          <w:b/>
          <w:sz w:val="24"/>
          <w:szCs w:val="24"/>
        </w:rPr>
        <w:t>corupția</w:t>
      </w:r>
      <w:r w:rsidRPr="00AD2CCB">
        <w:rPr>
          <w:rFonts w:asciiTheme="majorHAnsi" w:eastAsia="Arial Narrow" w:hAnsiTheme="majorHAnsi" w:cstheme="majorHAnsi"/>
          <w:sz w:val="24"/>
          <w:szCs w:val="24"/>
        </w:rPr>
        <w:t xml:space="preserve"> rămâne o problemă majoră și împiedică mediul de afaceri. Corupția, precum și nepotismul sunt identificate ca </w:t>
      </w:r>
      <w:r w:rsidRPr="00AD2CCB">
        <w:rPr>
          <w:rFonts w:asciiTheme="majorHAnsi" w:eastAsia="Arial Narrow" w:hAnsiTheme="majorHAnsi" w:cstheme="majorHAnsi"/>
          <w:i/>
          <w:sz w:val="24"/>
          <w:szCs w:val="24"/>
        </w:rPr>
        <w:t xml:space="preserve">obstacole în calea activității în România de 85% și respectiv 82% dintre întreprinderi (medii UE: 37%, respectiv 38%). Poziția României cu privire la indicatorul de incidență a corupției din Indicele Global al Competitivității din 2018 stagnează, clasându-se printre ultimele din UE, însă unele regiuni au înregistrat progrese semnificative pozitive în ultimii ani. </w:t>
      </w:r>
      <w:r w:rsidRPr="00AD2CCB">
        <w:rPr>
          <w:rFonts w:asciiTheme="majorHAnsi" w:eastAsia="Arial Narrow" w:hAnsiTheme="majorHAnsi" w:cstheme="majorHAnsi"/>
          <w:sz w:val="24"/>
          <w:szCs w:val="24"/>
        </w:rPr>
        <w:t>În acest context, activitățile de prevenire și combatere a corupției se numără printre prioritățile orizontale ale politicilor UE, identificate ca atare în Strategia Națională Anticorupție. România va face și în continuare eforturi care se înscriu în politicile UE de prevenire și reducere a corupției și menținerea unui cadru de integritate.</w:t>
      </w:r>
    </w:p>
    <w:p w14:paraId="286D607B"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Directiva 2008/114/CE privind identificarea și desemnarea </w:t>
      </w:r>
      <w:r w:rsidRPr="00AD2CCB">
        <w:rPr>
          <w:rFonts w:asciiTheme="majorHAnsi" w:eastAsia="Arial Narrow" w:hAnsiTheme="majorHAnsi" w:cstheme="majorHAnsi"/>
          <w:b/>
          <w:sz w:val="24"/>
          <w:szCs w:val="24"/>
        </w:rPr>
        <w:t>infrastructurilor critice europene</w:t>
      </w:r>
      <w:r w:rsidRPr="00AD2CCB">
        <w:rPr>
          <w:rFonts w:asciiTheme="majorHAnsi" w:eastAsia="Arial Narrow" w:hAnsiTheme="majorHAnsi" w:cstheme="majorHAnsi"/>
          <w:sz w:val="24"/>
          <w:szCs w:val="24"/>
        </w:rPr>
        <w:t xml:space="preserve"> și evaluarea necesității de îmbunătățire a protecției acestora este transpusa în legislația românească prin OUG nr. 98/2010 și Legea nr. 18/2011. Astfel, România va continua eforturile pentru implementarea Directivei 2008/114/CE, punând accent pe obligația de a pune în aplicare un mecanism de comunicare adecvat între autoritatea competentă a statului membru și ofițerul de legătură pentru securitate, sau echivalentul acestuia, în scopul schimbului de informații relevante privind riscurile și amenințările identificate în legătură cu infrastructura critică europeană respectivă.</w:t>
      </w:r>
    </w:p>
    <w:p w14:paraId="071B27A1"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O altă obligație asupra căreia România își va concentra eforturile este aceea conform căreia fiecare SM va prezenta </w:t>
      </w:r>
      <w:proofErr w:type="spellStart"/>
      <w:r w:rsidRPr="00AD2CCB">
        <w:rPr>
          <w:rFonts w:asciiTheme="majorHAnsi" w:eastAsia="Arial Narrow" w:hAnsiTheme="majorHAnsi" w:cstheme="majorHAnsi"/>
          <w:sz w:val="24"/>
          <w:szCs w:val="24"/>
        </w:rPr>
        <w:t>COMi</w:t>
      </w:r>
      <w:proofErr w:type="spellEnd"/>
      <w:r w:rsidRPr="00AD2CCB">
        <w:rPr>
          <w:rFonts w:asciiTheme="majorHAnsi" w:eastAsia="Arial Narrow" w:hAnsiTheme="majorHAnsi" w:cstheme="majorHAnsi"/>
          <w:sz w:val="24"/>
          <w:szCs w:val="24"/>
        </w:rPr>
        <w:t xml:space="preserve"> la fiecare doi ani un raport de sinteză cu date generale privind tipurile de riscuri, amenințări și puncte vulnerabile întâmpinate în fiecare dintre sectoarele ICE în care a fost desemnată o ICE în temeiul articolului 4 al Directivei și care se află pe teritoriul său.</w:t>
      </w:r>
    </w:p>
    <w:p w14:paraId="37CBEFE7"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proofErr w:type="spellStart"/>
      <w:r w:rsidRPr="00AD2CCB">
        <w:rPr>
          <w:rFonts w:asciiTheme="majorHAnsi" w:eastAsia="Arial Narrow" w:hAnsiTheme="majorHAnsi" w:cstheme="majorHAnsi"/>
          <w:b/>
          <w:sz w:val="24"/>
          <w:szCs w:val="24"/>
        </w:rPr>
        <w:t>Ameninţările</w:t>
      </w:r>
      <w:proofErr w:type="spellEnd"/>
      <w:r w:rsidRPr="00AD2CCB">
        <w:rPr>
          <w:rFonts w:asciiTheme="majorHAnsi" w:eastAsia="Arial Narrow" w:hAnsiTheme="majorHAnsi" w:cstheme="majorHAnsi"/>
          <w:b/>
          <w:sz w:val="24"/>
          <w:szCs w:val="24"/>
        </w:rPr>
        <w:t xml:space="preserve"> teroriste</w:t>
      </w:r>
      <w:r w:rsidRPr="00AD2CCB">
        <w:rPr>
          <w:rFonts w:asciiTheme="majorHAnsi" w:eastAsia="Arial Narrow" w:hAnsiTheme="majorHAnsi" w:cstheme="majorHAnsi"/>
          <w:sz w:val="24"/>
          <w:szCs w:val="24"/>
        </w:rPr>
        <w:t xml:space="preserve"> la adresa României nu au atins caracterul de </w:t>
      </w:r>
      <w:proofErr w:type="spellStart"/>
      <w:r w:rsidRPr="00AD2CCB">
        <w:rPr>
          <w:rFonts w:asciiTheme="majorHAnsi" w:eastAsia="Arial Narrow" w:hAnsiTheme="majorHAnsi" w:cstheme="majorHAnsi"/>
          <w:sz w:val="24"/>
          <w:szCs w:val="24"/>
        </w:rPr>
        <w:t>iminenţă</w:t>
      </w:r>
      <w:proofErr w:type="spellEnd"/>
      <w:r w:rsidRPr="00AD2CCB">
        <w:rPr>
          <w:rFonts w:asciiTheme="majorHAnsi" w:eastAsia="Arial Narrow" w:hAnsiTheme="majorHAnsi" w:cstheme="majorHAnsi"/>
          <w:sz w:val="24"/>
          <w:szCs w:val="24"/>
        </w:rPr>
        <w:t xml:space="preserve">, riscurile </w:t>
      </w:r>
      <w:r w:rsidRPr="00AD2CCB">
        <w:rPr>
          <w:rFonts w:asciiTheme="majorHAnsi" w:eastAsia="Arial" w:hAnsiTheme="majorHAnsi" w:cstheme="majorHAnsi"/>
          <w:sz w:val="24"/>
          <w:szCs w:val="24"/>
        </w:rPr>
        <w:t>teroriste fiind conexate preponderent evoluțiilor externe de securitate.</w:t>
      </w:r>
    </w:p>
    <w:p w14:paraId="25BF5566"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Deși cei implicați în activități de risc pe profil AT sunt cu precădere cetățeni străini, cu un profil radical, adepți ai </w:t>
      </w:r>
      <w:proofErr w:type="spellStart"/>
      <w:r w:rsidRPr="00AD2CCB">
        <w:rPr>
          <w:rFonts w:asciiTheme="majorHAnsi" w:eastAsia="Arial Narrow" w:hAnsiTheme="majorHAnsi" w:cstheme="majorHAnsi"/>
          <w:sz w:val="24"/>
          <w:szCs w:val="24"/>
        </w:rPr>
        <w:t>jihadului</w:t>
      </w:r>
      <w:proofErr w:type="spellEnd"/>
      <w:r w:rsidRPr="00AD2CCB">
        <w:rPr>
          <w:rFonts w:asciiTheme="majorHAnsi" w:eastAsia="Arial Narrow" w:hAnsiTheme="majorHAnsi" w:cstheme="majorHAnsi"/>
          <w:sz w:val="24"/>
          <w:szCs w:val="24"/>
        </w:rPr>
        <w:t xml:space="preserve"> global, se remarcă un trend ascendent al (auto)radicalizării și implicării în activități generatoare de riscuri de securitate și în cazul unor cetățeni români convertiți.</w:t>
      </w:r>
    </w:p>
    <w:p w14:paraId="383BF3C9"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În România, în ultimii ani,</w:t>
      </w:r>
      <w:r w:rsidRPr="00AD2CCB">
        <w:rPr>
          <w:rFonts w:asciiTheme="majorHAnsi" w:eastAsia="Arial Narrow" w:hAnsiTheme="majorHAnsi" w:cstheme="majorHAnsi"/>
          <w:b/>
          <w:sz w:val="24"/>
          <w:szCs w:val="24"/>
        </w:rPr>
        <w:t xml:space="preserve"> radicalizarea</w:t>
      </w:r>
      <w:r w:rsidRPr="00AD2CCB">
        <w:rPr>
          <w:rFonts w:asciiTheme="majorHAnsi" w:eastAsia="Arial Narrow" w:hAnsiTheme="majorHAnsi" w:cstheme="majorHAnsi"/>
          <w:sz w:val="24"/>
          <w:szCs w:val="24"/>
        </w:rPr>
        <w:t xml:space="preserve"> a cunoscut un trend constant ascendent, </w:t>
      </w:r>
      <w:proofErr w:type="spellStart"/>
      <w:r w:rsidRPr="00AD2CCB">
        <w:rPr>
          <w:rFonts w:asciiTheme="majorHAnsi" w:eastAsia="Arial Narrow" w:hAnsiTheme="majorHAnsi" w:cstheme="majorHAnsi"/>
          <w:sz w:val="24"/>
          <w:szCs w:val="24"/>
        </w:rPr>
        <w:t>reţinând</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atenţia</w:t>
      </w:r>
      <w:proofErr w:type="spellEnd"/>
      <w:r w:rsidRPr="00AD2CCB">
        <w:rPr>
          <w:rFonts w:asciiTheme="majorHAnsi" w:eastAsia="Arial Narrow" w:hAnsiTheme="majorHAnsi" w:cstheme="majorHAnsi"/>
          <w:sz w:val="24"/>
          <w:szCs w:val="24"/>
        </w:rPr>
        <w:t xml:space="preserve"> procesele de radicalizare identificate în rândul:</w:t>
      </w:r>
    </w:p>
    <w:p w14:paraId="6F0435AA"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minorilor/ tinerilor - categorie vulnerabilă pe fondul, atât al vârstei fragede ce reprezintă un factor important în procesul de radicalizare, cât și al </w:t>
      </w:r>
      <w:proofErr w:type="spellStart"/>
      <w:r w:rsidRPr="00AD2CCB">
        <w:rPr>
          <w:rFonts w:asciiTheme="majorHAnsi" w:eastAsia="Arial Narrow" w:hAnsiTheme="majorHAnsi" w:cstheme="majorHAnsi"/>
          <w:sz w:val="24"/>
          <w:szCs w:val="24"/>
        </w:rPr>
        <w:t>prezenţei</w:t>
      </w:r>
      <w:proofErr w:type="spellEnd"/>
      <w:r w:rsidRPr="00AD2CCB">
        <w:rPr>
          <w:rFonts w:asciiTheme="majorHAnsi" w:eastAsia="Arial Narrow" w:hAnsiTheme="majorHAnsi" w:cstheme="majorHAnsi"/>
          <w:sz w:val="24"/>
          <w:szCs w:val="24"/>
        </w:rPr>
        <w:t xml:space="preserve"> ridicate a subiectului terorism în mass-media şi a </w:t>
      </w:r>
      <w:proofErr w:type="spellStart"/>
      <w:r w:rsidRPr="00AD2CCB">
        <w:rPr>
          <w:rFonts w:asciiTheme="majorHAnsi" w:eastAsia="Arial Narrow" w:hAnsiTheme="majorHAnsi" w:cstheme="majorHAnsi"/>
          <w:sz w:val="24"/>
          <w:szCs w:val="24"/>
        </w:rPr>
        <w:t>atractivităţii</w:t>
      </w:r>
      <w:proofErr w:type="spellEnd"/>
      <w:r w:rsidRPr="00AD2CCB">
        <w:rPr>
          <w:rFonts w:asciiTheme="majorHAnsi" w:eastAsia="Arial Narrow" w:hAnsiTheme="majorHAnsi" w:cstheme="majorHAnsi"/>
          <w:sz w:val="24"/>
          <w:szCs w:val="24"/>
        </w:rPr>
        <w:t xml:space="preserve"> acestuia pentru tinerii </w:t>
      </w:r>
      <w:proofErr w:type="spellStart"/>
      <w:r w:rsidRPr="00AD2CCB">
        <w:rPr>
          <w:rFonts w:asciiTheme="majorHAnsi" w:eastAsia="Arial Narrow" w:hAnsiTheme="majorHAnsi" w:cstheme="majorHAnsi"/>
          <w:sz w:val="24"/>
          <w:szCs w:val="24"/>
        </w:rPr>
        <w:t>aflaţi</w:t>
      </w:r>
      <w:proofErr w:type="spellEnd"/>
      <w:r w:rsidRPr="00AD2CCB">
        <w:rPr>
          <w:rFonts w:asciiTheme="majorHAnsi" w:eastAsia="Arial Narrow" w:hAnsiTheme="majorHAnsi" w:cstheme="majorHAnsi"/>
          <w:sz w:val="24"/>
          <w:szCs w:val="24"/>
        </w:rPr>
        <w:t xml:space="preserve"> într-o etapă "a căutărilor", a stabilirii propriei </w:t>
      </w:r>
      <w:proofErr w:type="spellStart"/>
      <w:r w:rsidRPr="00AD2CCB">
        <w:rPr>
          <w:rFonts w:asciiTheme="majorHAnsi" w:eastAsia="Arial Narrow" w:hAnsiTheme="majorHAnsi" w:cstheme="majorHAnsi"/>
          <w:sz w:val="24"/>
          <w:szCs w:val="24"/>
        </w:rPr>
        <w:t>identităţi</w:t>
      </w:r>
      <w:proofErr w:type="spellEnd"/>
      <w:r w:rsidRPr="00AD2CCB">
        <w:rPr>
          <w:rFonts w:asciiTheme="majorHAnsi" w:eastAsia="Arial Narrow" w:hAnsiTheme="majorHAnsi" w:cstheme="majorHAnsi"/>
          <w:sz w:val="24"/>
          <w:szCs w:val="24"/>
        </w:rPr>
        <w:t>;</w:t>
      </w:r>
    </w:p>
    <w:p w14:paraId="0F8BBE2F"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unor persoane care au executat pedepse privative de libertate, fiind evidențiată înclinația acestora spre </w:t>
      </w:r>
      <w:proofErr w:type="spellStart"/>
      <w:r w:rsidRPr="00AD2CCB">
        <w:rPr>
          <w:rFonts w:asciiTheme="majorHAnsi" w:eastAsia="Arial Narrow" w:hAnsiTheme="majorHAnsi" w:cstheme="majorHAnsi"/>
          <w:sz w:val="24"/>
          <w:szCs w:val="24"/>
        </w:rPr>
        <w:t>violenţă</w:t>
      </w:r>
      <w:proofErr w:type="spellEnd"/>
      <w:r w:rsidRPr="00AD2CCB">
        <w:rPr>
          <w:rFonts w:asciiTheme="majorHAnsi" w:eastAsia="Arial Narrow" w:hAnsiTheme="majorHAnsi" w:cstheme="majorHAnsi"/>
          <w:sz w:val="24"/>
          <w:szCs w:val="24"/>
        </w:rPr>
        <w:t xml:space="preserve">;   </w:t>
      </w:r>
      <w:r w:rsidRPr="00AD2CCB">
        <w:rPr>
          <w:rFonts w:asciiTheme="majorHAnsi" w:eastAsia="Arial Narrow" w:hAnsiTheme="majorHAnsi" w:cstheme="majorHAnsi"/>
          <w:sz w:val="24"/>
          <w:szCs w:val="24"/>
        </w:rPr>
        <w:tab/>
      </w:r>
    </w:p>
    <w:p w14:paraId="7F0BDBA0"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prezent, </w:t>
      </w:r>
      <w:r w:rsidRPr="00AD2CCB">
        <w:rPr>
          <w:rFonts w:asciiTheme="majorHAnsi" w:eastAsia="Arial" w:hAnsiTheme="majorHAnsi" w:cstheme="majorHAnsi"/>
          <w:b/>
          <w:sz w:val="24"/>
          <w:szCs w:val="24"/>
        </w:rPr>
        <w:t xml:space="preserve">acțiunile extremist - violente </w:t>
      </w:r>
      <w:r w:rsidRPr="00AD2CCB">
        <w:rPr>
          <w:rFonts w:asciiTheme="majorHAnsi" w:eastAsia="Arial Narrow" w:hAnsiTheme="majorHAnsi" w:cstheme="majorHAnsi"/>
          <w:sz w:val="24"/>
          <w:szCs w:val="24"/>
        </w:rPr>
        <w:t xml:space="preserve">și radicalizarea evidențiază o accelerare a trecerii din planul declarativ în cel </w:t>
      </w:r>
      <w:proofErr w:type="spellStart"/>
      <w:r w:rsidRPr="00AD2CCB">
        <w:rPr>
          <w:rFonts w:asciiTheme="majorHAnsi" w:eastAsia="Arial Narrow" w:hAnsiTheme="majorHAnsi" w:cstheme="majorHAnsi"/>
          <w:sz w:val="24"/>
          <w:szCs w:val="24"/>
        </w:rPr>
        <w:t>acțional</w:t>
      </w:r>
      <w:proofErr w:type="spellEnd"/>
      <w:r w:rsidRPr="00AD2CCB">
        <w:rPr>
          <w:rFonts w:asciiTheme="majorHAnsi" w:eastAsia="Arial Narrow" w:hAnsiTheme="majorHAnsi" w:cstheme="majorHAnsi"/>
          <w:sz w:val="24"/>
          <w:szCs w:val="24"/>
        </w:rPr>
        <w:t>, fiind caracterizate de:</w:t>
      </w:r>
    </w:p>
    <w:p w14:paraId="04F57F11"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atacuri individuale;</w:t>
      </w:r>
    </w:p>
    <w:p w14:paraId="59185F0E"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parcurgerea unui proces rapid de radicalizare - </w:t>
      </w:r>
      <w:proofErr w:type="spellStart"/>
      <w:r w:rsidRPr="00AD2CCB">
        <w:rPr>
          <w:rFonts w:asciiTheme="majorHAnsi" w:eastAsia="Arial Narrow" w:hAnsiTheme="majorHAnsi" w:cstheme="majorHAnsi"/>
          <w:sz w:val="24"/>
          <w:szCs w:val="24"/>
        </w:rPr>
        <w:t>depăşirea</w:t>
      </w:r>
      <w:proofErr w:type="spellEnd"/>
      <w:r w:rsidRPr="00AD2CCB">
        <w:rPr>
          <w:rFonts w:asciiTheme="majorHAnsi" w:eastAsia="Arial Narrow" w:hAnsiTheme="majorHAnsi" w:cstheme="majorHAnsi"/>
          <w:sz w:val="24"/>
          <w:szCs w:val="24"/>
        </w:rPr>
        <w:t xml:space="preserve"> accelerată a stadiului declarativ şi trecerea la </w:t>
      </w:r>
      <w:proofErr w:type="spellStart"/>
      <w:r w:rsidRPr="00AD2CCB">
        <w:rPr>
          <w:rFonts w:asciiTheme="majorHAnsi" w:eastAsia="Arial Narrow" w:hAnsiTheme="majorHAnsi" w:cstheme="majorHAnsi"/>
          <w:sz w:val="24"/>
          <w:szCs w:val="24"/>
        </w:rPr>
        <w:t>acţiune</w:t>
      </w:r>
      <w:proofErr w:type="spellEnd"/>
      <w:r w:rsidRPr="00AD2CCB">
        <w:rPr>
          <w:rFonts w:asciiTheme="majorHAnsi" w:eastAsia="Arial Narrow" w:hAnsiTheme="majorHAnsi" w:cstheme="majorHAnsi"/>
          <w:sz w:val="24"/>
          <w:szCs w:val="24"/>
        </w:rPr>
        <w:t xml:space="preserve"> a indivizilor </w:t>
      </w:r>
      <w:proofErr w:type="spellStart"/>
      <w:r w:rsidRPr="00AD2CCB">
        <w:rPr>
          <w:rFonts w:asciiTheme="majorHAnsi" w:eastAsia="Arial Narrow" w:hAnsiTheme="majorHAnsi" w:cstheme="majorHAnsi"/>
          <w:sz w:val="24"/>
          <w:szCs w:val="24"/>
        </w:rPr>
        <w:t>radicalizaţi</w:t>
      </w:r>
      <w:proofErr w:type="spellEnd"/>
      <w:r w:rsidRPr="00AD2CCB">
        <w:rPr>
          <w:rFonts w:asciiTheme="majorHAnsi" w:eastAsia="Arial Narrow" w:hAnsiTheme="majorHAnsi" w:cstheme="majorHAnsi"/>
          <w:sz w:val="24"/>
          <w:szCs w:val="24"/>
        </w:rPr>
        <w:t>, fie sub un imbold personal, fie sub îndrumarea unor elemente radicale cu care se află în contact;</w:t>
      </w:r>
    </w:p>
    <w:p w14:paraId="1703788D"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 orientarea către ținte soft, dar cu un puternic impact emoțional;</w:t>
      </w:r>
    </w:p>
    <w:p w14:paraId="7B34723D"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spontaneitatea și imprevizibilitatea momentului </w:t>
      </w:r>
      <w:proofErr w:type="spellStart"/>
      <w:r w:rsidRPr="00AD2CCB">
        <w:rPr>
          <w:rFonts w:asciiTheme="majorHAnsi" w:eastAsia="Arial Narrow" w:hAnsiTheme="majorHAnsi" w:cstheme="majorHAnsi"/>
          <w:sz w:val="24"/>
          <w:szCs w:val="24"/>
        </w:rPr>
        <w:t>declanşării</w:t>
      </w:r>
      <w:proofErr w:type="spellEnd"/>
      <w:r w:rsidRPr="00AD2CCB">
        <w:rPr>
          <w:rFonts w:asciiTheme="majorHAnsi" w:eastAsia="Arial Narrow" w:hAnsiTheme="majorHAnsi" w:cstheme="majorHAnsi"/>
          <w:sz w:val="24"/>
          <w:szCs w:val="24"/>
        </w:rPr>
        <w:t xml:space="preserve"> unor acte violente;</w:t>
      </w:r>
    </w:p>
    <w:p w14:paraId="260F9722"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utilizarea unor tehnici și metode de comitere a atentatelor facile și simpliste utilizând arme albe sau de foc.</w:t>
      </w:r>
    </w:p>
    <w:p w14:paraId="3F25A854" w14:textId="77777777" w:rsidR="00AD2CCB" w:rsidRPr="00AD2CCB" w:rsidRDefault="00AD2CCB" w:rsidP="00C34469">
      <w:pPr>
        <w:spacing w:after="120" w:line="240" w:lineRule="auto"/>
        <w:ind w:left="1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Printre provocările identificate în plan național, ce vizează extremismul și radicalizarea se numără:</w:t>
      </w:r>
    </w:p>
    <w:p w14:paraId="22B7621A"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creșterea </w:t>
      </w:r>
      <w:proofErr w:type="spellStart"/>
      <w:r w:rsidRPr="00AD2CCB">
        <w:rPr>
          <w:rFonts w:asciiTheme="majorHAnsi" w:eastAsia="Arial Narrow" w:hAnsiTheme="majorHAnsi" w:cstheme="majorHAnsi"/>
          <w:sz w:val="24"/>
          <w:szCs w:val="24"/>
        </w:rPr>
        <w:t>exponenţială</w:t>
      </w:r>
      <w:proofErr w:type="spellEnd"/>
      <w:r w:rsidRPr="00AD2CCB">
        <w:rPr>
          <w:rFonts w:asciiTheme="majorHAnsi" w:eastAsia="Arial Narrow" w:hAnsiTheme="majorHAnsi" w:cstheme="majorHAnsi"/>
          <w:sz w:val="24"/>
          <w:szCs w:val="24"/>
        </w:rPr>
        <w:t xml:space="preserve"> a utilizării mediului online și a social-media (cu accent pe rețelele criptate), accesul facil şi în „timp real” la </w:t>
      </w:r>
      <w:proofErr w:type="spellStart"/>
      <w:r w:rsidRPr="00AD2CCB">
        <w:rPr>
          <w:rFonts w:asciiTheme="majorHAnsi" w:eastAsia="Arial Narrow" w:hAnsiTheme="majorHAnsi" w:cstheme="majorHAnsi"/>
          <w:sz w:val="24"/>
          <w:szCs w:val="24"/>
        </w:rPr>
        <w:t>conţinut</w:t>
      </w:r>
      <w:proofErr w:type="spellEnd"/>
      <w:r w:rsidRPr="00AD2CCB">
        <w:rPr>
          <w:rFonts w:asciiTheme="majorHAnsi" w:eastAsia="Arial Narrow" w:hAnsiTheme="majorHAnsi" w:cstheme="majorHAnsi"/>
          <w:sz w:val="24"/>
          <w:szCs w:val="24"/>
        </w:rPr>
        <w:t xml:space="preserve"> extremist şi terorist, în paralel cu insuficiența instrumentelor legislative adecvate pentru limitarea propagării acestui tip de mesaje;</w:t>
      </w:r>
    </w:p>
    <w:p w14:paraId="703B5323"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linia relativă de </w:t>
      </w:r>
      <w:proofErr w:type="spellStart"/>
      <w:r w:rsidRPr="00AD2CCB">
        <w:rPr>
          <w:rFonts w:asciiTheme="majorHAnsi" w:eastAsia="Arial Narrow" w:hAnsiTheme="majorHAnsi" w:cstheme="majorHAnsi"/>
          <w:sz w:val="24"/>
          <w:szCs w:val="24"/>
        </w:rPr>
        <w:t>demarcaţie</w:t>
      </w:r>
      <w:proofErr w:type="spellEnd"/>
      <w:r w:rsidRPr="00AD2CCB">
        <w:rPr>
          <w:rFonts w:asciiTheme="majorHAnsi" w:eastAsia="Arial Narrow" w:hAnsiTheme="majorHAnsi" w:cstheme="majorHAnsi"/>
          <w:sz w:val="24"/>
          <w:szCs w:val="24"/>
        </w:rPr>
        <w:t xml:space="preserve"> între propaganda cu tente extremiste/ radicale şi dreptul la liberă exprimare sau între teribilismul specific vârstei și al activismului </w:t>
      </w:r>
      <w:proofErr w:type="spellStart"/>
      <w:r w:rsidRPr="00AD2CCB">
        <w:rPr>
          <w:rFonts w:asciiTheme="majorHAnsi" w:eastAsia="Arial Narrow" w:hAnsiTheme="majorHAnsi" w:cstheme="majorHAnsi"/>
          <w:sz w:val="24"/>
          <w:szCs w:val="24"/>
        </w:rPr>
        <w:t>social,respectiv</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eficienţa</w:t>
      </w:r>
      <w:proofErr w:type="spellEnd"/>
      <w:r w:rsidRPr="00AD2CCB">
        <w:rPr>
          <w:rFonts w:asciiTheme="majorHAnsi" w:eastAsia="Arial Narrow" w:hAnsiTheme="majorHAnsi" w:cstheme="majorHAnsi"/>
          <w:sz w:val="24"/>
          <w:szCs w:val="24"/>
        </w:rPr>
        <w:t xml:space="preserve"> scăzută a unor metode coercitive (precum cenzurarea sau închiderea unui blog, site ori cont de pe o </w:t>
      </w:r>
      <w:proofErr w:type="spellStart"/>
      <w:r w:rsidRPr="00AD2CCB">
        <w:rPr>
          <w:rFonts w:asciiTheme="majorHAnsi" w:eastAsia="Arial Narrow" w:hAnsiTheme="majorHAnsi" w:cstheme="majorHAnsi"/>
          <w:sz w:val="24"/>
          <w:szCs w:val="24"/>
        </w:rPr>
        <w:t>reţea</w:t>
      </w:r>
      <w:proofErr w:type="spellEnd"/>
      <w:r w:rsidRPr="00AD2CCB">
        <w:rPr>
          <w:rFonts w:asciiTheme="majorHAnsi" w:eastAsia="Arial Narrow" w:hAnsiTheme="majorHAnsi" w:cstheme="majorHAnsi"/>
          <w:sz w:val="24"/>
          <w:szCs w:val="24"/>
        </w:rPr>
        <w:t xml:space="preserve"> de socializare. În cazul blocării conturilor online utilizate de extremiști, aceștia își creează noi profiluri în cadrul cărora derulează activități similare, concomitent cu accentuarea radicalizării și adoptarea unor măsuri contrainformative suplimentare);</w:t>
      </w:r>
    </w:p>
    <w:p w14:paraId="2EF161CC"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cunoaşterea</w:t>
      </w:r>
      <w:proofErr w:type="spellEnd"/>
      <w:r w:rsidRPr="00AD2CCB">
        <w:rPr>
          <w:rFonts w:asciiTheme="majorHAnsi" w:eastAsia="Arial Narrow" w:hAnsiTheme="majorHAnsi" w:cstheme="majorHAnsi"/>
          <w:sz w:val="24"/>
          <w:szCs w:val="24"/>
        </w:rPr>
        <w:t xml:space="preserve"> insuficientă a </w:t>
      </w:r>
      <w:proofErr w:type="spellStart"/>
      <w:r w:rsidRPr="00AD2CCB">
        <w:rPr>
          <w:rFonts w:asciiTheme="majorHAnsi" w:eastAsia="Arial Narrow" w:hAnsiTheme="majorHAnsi" w:cstheme="majorHAnsi"/>
          <w:sz w:val="24"/>
          <w:szCs w:val="24"/>
        </w:rPr>
        <w:t>evoluţiilor</w:t>
      </w:r>
      <w:proofErr w:type="spellEnd"/>
      <w:r w:rsidRPr="00AD2CCB">
        <w:rPr>
          <w:rFonts w:asciiTheme="majorHAnsi" w:eastAsia="Arial Narrow" w:hAnsiTheme="majorHAnsi" w:cstheme="majorHAnsi"/>
          <w:sz w:val="24"/>
          <w:szCs w:val="24"/>
        </w:rPr>
        <w:t xml:space="preserve">/indicatorilor </w:t>
      </w:r>
      <w:proofErr w:type="spellStart"/>
      <w:r w:rsidRPr="00AD2CCB">
        <w:rPr>
          <w:rFonts w:asciiTheme="majorHAnsi" w:eastAsia="Arial Narrow" w:hAnsiTheme="majorHAnsi" w:cstheme="majorHAnsi"/>
          <w:sz w:val="24"/>
          <w:szCs w:val="24"/>
        </w:rPr>
        <w:t>relevanţi</w:t>
      </w:r>
      <w:proofErr w:type="spellEnd"/>
      <w:r w:rsidRPr="00AD2CCB">
        <w:rPr>
          <w:rFonts w:asciiTheme="majorHAnsi" w:eastAsia="Arial Narrow" w:hAnsiTheme="majorHAnsi" w:cstheme="majorHAnsi"/>
          <w:sz w:val="24"/>
          <w:szCs w:val="24"/>
        </w:rPr>
        <w:t xml:space="preserve"> de (auto)radicalizare care se manifestă la nivel individual limitează implicit capacitatea </w:t>
      </w:r>
      <w:proofErr w:type="spellStart"/>
      <w:r w:rsidRPr="00AD2CCB">
        <w:rPr>
          <w:rFonts w:asciiTheme="majorHAnsi" w:eastAsia="Arial Narrow" w:hAnsiTheme="majorHAnsi" w:cstheme="majorHAnsi"/>
          <w:sz w:val="24"/>
          <w:szCs w:val="24"/>
        </w:rPr>
        <w:t>autorităţilor</w:t>
      </w:r>
      <w:proofErr w:type="spellEnd"/>
      <w:r w:rsidRPr="00AD2CCB">
        <w:rPr>
          <w:rFonts w:asciiTheme="majorHAnsi" w:eastAsia="Arial Narrow" w:hAnsiTheme="majorHAnsi" w:cstheme="majorHAnsi"/>
          <w:sz w:val="24"/>
          <w:szCs w:val="24"/>
        </w:rPr>
        <w:t xml:space="preserve"> competente de a interveni preventiv, pentru a preîntâmpina şi înlătura premisele de parcurgere a tuturor etapelor de radicalizare ale persoanelor vulnerabile şi care au intrat în contact cu ideologia extremistă;</w:t>
      </w:r>
    </w:p>
    <w:p w14:paraId="7D41A127" w14:textId="77777777" w:rsidR="00AD2CCB" w:rsidRP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 lipsa unor programe de pregătire, la nivelul </w:t>
      </w:r>
      <w:proofErr w:type="spellStart"/>
      <w:r w:rsidRPr="00AD2CCB">
        <w:rPr>
          <w:rFonts w:asciiTheme="majorHAnsi" w:eastAsia="Arial Narrow" w:hAnsiTheme="majorHAnsi" w:cstheme="majorHAnsi"/>
          <w:sz w:val="24"/>
          <w:szCs w:val="24"/>
        </w:rPr>
        <w:t>societăţii</w:t>
      </w:r>
      <w:proofErr w:type="spellEnd"/>
      <w:r w:rsidRPr="00AD2CCB">
        <w:rPr>
          <w:rFonts w:asciiTheme="majorHAnsi" w:eastAsia="Arial Narrow" w:hAnsiTheme="majorHAnsi" w:cstheme="majorHAnsi"/>
          <w:sz w:val="24"/>
          <w:szCs w:val="24"/>
        </w:rPr>
        <w:t xml:space="preserve">, care să permită identificarea corectă a radicalizării islamice la cât mai multe nivele (combătând xenofobia şi alte </w:t>
      </w:r>
      <w:proofErr w:type="spellStart"/>
      <w:r w:rsidRPr="00AD2CCB">
        <w:rPr>
          <w:rFonts w:asciiTheme="majorHAnsi" w:eastAsia="Arial Narrow" w:hAnsiTheme="majorHAnsi" w:cstheme="majorHAnsi"/>
          <w:sz w:val="24"/>
          <w:szCs w:val="24"/>
        </w:rPr>
        <w:t>prejudecăţi</w:t>
      </w:r>
      <w:proofErr w:type="spellEnd"/>
      <w:r w:rsidRPr="00AD2CCB">
        <w:rPr>
          <w:rFonts w:asciiTheme="majorHAnsi" w:eastAsia="Arial Narrow" w:hAnsiTheme="majorHAnsi" w:cstheme="majorHAnsi"/>
          <w:sz w:val="24"/>
          <w:szCs w:val="24"/>
        </w:rPr>
        <w:t>) şi crearea unor mecanisme de (re)</w:t>
      </w:r>
      <w:proofErr w:type="spellStart"/>
      <w:r w:rsidRPr="00AD2CCB">
        <w:rPr>
          <w:rFonts w:asciiTheme="majorHAnsi" w:eastAsia="Arial Narrow" w:hAnsiTheme="majorHAnsi" w:cstheme="majorHAnsi"/>
          <w:sz w:val="24"/>
          <w:szCs w:val="24"/>
        </w:rPr>
        <w:t>inserţie</w:t>
      </w:r>
      <w:proofErr w:type="spellEnd"/>
      <w:r w:rsidRPr="00AD2CCB">
        <w:rPr>
          <w:rFonts w:asciiTheme="majorHAnsi" w:eastAsia="Arial Narrow" w:hAnsiTheme="majorHAnsi" w:cstheme="majorHAnsi"/>
          <w:sz w:val="24"/>
          <w:szCs w:val="24"/>
        </w:rPr>
        <w:t xml:space="preserve"> socială ca </w:t>
      </w:r>
      <w:proofErr w:type="spellStart"/>
      <w:r w:rsidRPr="00AD2CCB">
        <w:rPr>
          <w:rFonts w:asciiTheme="majorHAnsi" w:eastAsia="Arial Narrow" w:hAnsiTheme="majorHAnsi" w:cstheme="majorHAnsi"/>
          <w:sz w:val="24"/>
          <w:szCs w:val="24"/>
        </w:rPr>
        <w:t>soluţii</w:t>
      </w:r>
      <w:proofErr w:type="spellEnd"/>
      <w:r w:rsidRPr="00AD2CCB">
        <w:rPr>
          <w:rFonts w:asciiTheme="majorHAnsi" w:eastAsia="Arial Narrow" w:hAnsiTheme="majorHAnsi" w:cstheme="majorHAnsi"/>
          <w:sz w:val="24"/>
          <w:szCs w:val="24"/>
        </w:rPr>
        <w:t xml:space="preserve"> de protejare sau extragere a individului de sub </w:t>
      </w:r>
      <w:proofErr w:type="spellStart"/>
      <w:r w:rsidRPr="00AD2CCB">
        <w:rPr>
          <w:rFonts w:asciiTheme="majorHAnsi" w:eastAsia="Arial Narrow" w:hAnsiTheme="majorHAnsi" w:cstheme="majorHAnsi"/>
          <w:sz w:val="24"/>
          <w:szCs w:val="24"/>
        </w:rPr>
        <w:t>influenţa</w:t>
      </w:r>
      <w:proofErr w:type="spellEnd"/>
      <w:r w:rsidRPr="00AD2CCB">
        <w:rPr>
          <w:rFonts w:asciiTheme="majorHAnsi" w:eastAsia="Arial Narrow" w:hAnsiTheme="majorHAnsi" w:cstheme="majorHAnsi"/>
          <w:sz w:val="24"/>
          <w:szCs w:val="24"/>
        </w:rPr>
        <w:t xml:space="preserve"> ideologiei radicale/ extremiste.</w:t>
      </w:r>
    </w:p>
    <w:p w14:paraId="59D05166" w14:textId="77E1FB09" w:rsidR="00AD2CCB" w:rsidRDefault="00AD2CCB" w:rsidP="00C34469">
      <w:pPr>
        <w:spacing w:after="120" w:line="240" w:lineRule="auto"/>
        <w:ind w:left="20" w:hanging="10"/>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România va avea în vedere asigurarea complementarității și sinergiilor cu obiectivele politicii de coeziune, conform prevederilor Acordului de Parteneriat 2021 – 2027. Astfel, se va asigura corelarea și sincronizarea intervențiilor finanțate prin FSI cu cele din cele 8 fonduri structurale, pe domenii cum ar fi protecția victimelor sau securitatea cibernetică. </w:t>
      </w:r>
    </w:p>
    <w:p w14:paraId="33687A29" w14:textId="77777777" w:rsidR="001A230B" w:rsidRPr="00AD2CCB" w:rsidRDefault="001A230B" w:rsidP="00C34469">
      <w:pPr>
        <w:spacing w:after="120" w:line="240" w:lineRule="auto"/>
        <w:ind w:left="20" w:hanging="10"/>
        <w:jc w:val="both"/>
        <w:rPr>
          <w:rFonts w:asciiTheme="majorHAnsi" w:eastAsia="Arial Narrow" w:hAnsiTheme="majorHAnsi" w:cstheme="majorHAnsi"/>
          <w:sz w:val="24"/>
          <w:szCs w:val="24"/>
        </w:rPr>
      </w:pPr>
    </w:p>
    <w:p w14:paraId="1FBC3FCF" w14:textId="77777777" w:rsidR="0042331A" w:rsidRPr="004C0798" w:rsidRDefault="0042331A" w:rsidP="0042331A">
      <w:pPr>
        <w:spacing w:after="120" w:line="240" w:lineRule="auto"/>
        <w:rPr>
          <w:rFonts w:asciiTheme="majorHAnsi" w:hAnsiTheme="majorHAnsi" w:cstheme="majorHAnsi"/>
          <w:i/>
        </w:rPr>
      </w:pPr>
      <w:bookmarkStart w:id="3" w:name="_dn74nfvp6tfl" w:colFirst="0" w:colLast="0"/>
      <w:bookmarkStart w:id="4" w:name="_wtrcenwjnd9w" w:colFirst="0" w:colLast="0"/>
      <w:bookmarkEnd w:id="3"/>
      <w:bookmarkEnd w:id="4"/>
    </w:p>
    <w:p w14:paraId="13E89F59" w14:textId="1BFCA5EC" w:rsidR="0042331A" w:rsidRPr="0042331A" w:rsidRDefault="0042331A" w:rsidP="0042331A">
      <w:pPr>
        <w:pStyle w:val="ListParagraph"/>
        <w:numPr>
          <w:ilvl w:val="0"/>
          <w:numId w:val="4"/>
        </w:numPr>
        <w:rPr>
          <w:rFonts w:asciiTheme="majorHAnsi" w:hAnsiTheme="majorHAnsi" w:cstheme="majorHAnsi"/>
          <w:b/>
          <w:color w:val="FFFFFF" w:themeColor="background1"/>
          <w:sz w:val="28"/>
          <w:szCs w:val="28"/>
          <w:highlight w:val="darkBlue"/>
        </w:rPr>
      </w:pPr>
      <w:r w:rsidRPr="0042331A">
        <w:rPr>
          <w:rFonts w:asciiTheme="majorHAnsi" w:hAnsiTheme="majorHAnsi" w:cstheme="majorHAnsi"/>
          <w:b/>
          <w:color w:val="FFFFFF" w:themeColor="background1"/>
          <w:sz w:val="28"/>
          <w:szCs w:val="28"/>
          <w:highlight w:val="darkBlue"/>
        </w:rPr>
        <w:t xml:space="preserve">Specific </w:t>
      </w:r>
      <w:proofErr w:type="spellStart"/>
      <w:r w:rsidRPr="0042331A">
        <w:rPr>
          <w:rFonts w:asciiTheme="majorHAnsi" w:hAnsiTheme="majorHAnsi" w:cstheme="majorHAnsi"/>
          <w:b/>
          <w:color w:val="FFFFFF" w:themeColor="background1"/>
          <w:sz w:val="28"/>
          <w:szCs w:val="28"/>
          <w:highlight w:val="darkBlue"/>
        </w:rPr>
        <w:t>objectives</w:t>
      </w:r>
      <w:proofErr w:type="spellEnd"/>
      <w:r w:rsidRPr="0042331A">
        <w:rPr>
          <w:rFonts w:asciiTheme="majorHAnsi" w:hAnsiTheme="majorHAnsi" w:cstheme="majorHAnsi"/>
          <w:b/>
          <w:color w:val="FFFFFF" w:themeColor="background1"/>
          <w:sz w:val="28"/>
          <w:szCs w:val="28"/>
          <w:highlight w:val="darkBlue"/>
        </w:rPr>
        <w:t xml:space="preserve"> </w:t>
      </w:r>
    </w:p>
    <w:p w14:paraId="5E35E72E" w14:textId="77777777" w:rsidR="0042331A" w:rsidRPr="001463CC" w:rsidRDefault="0042331A" w:rsidP="0042331A">
      <w:pPr>
        <w:rPr>
          <w:rFonts w:asciiTheme="majorHAnsi" w:hAnsiTheme="majorHAnsi" w:cstheme="majorHAnsi"/>
          <w:bCs/>
          <w:i/>
          <w:iCs/>
          <w:sz w:val="24"/>
          <w:szCs w:val="24"/>
        </w:rPr>
      </w:pPr>
      <w:r w:rsidRPr="001463CC">
        <w:rPr>
          <w:rFonts w:asciiTheme="majorHAnsi" w:hAnsiTheme="majorHAnsi" w:cstheme="majorHAnsi"/>
          <w:bCs/>
          <w:i/>
          <w:iCs/>
          <w:sz w:val="24"/>
          <w:szCs w:val="24"/>
        </w:rPr>
        <w:t>(</w:t>
      </w:r>
      <w:proofErr w:type="spellStart"/>
      <w:r w:rsidRPr="001463CC">
        <w:rPr>
          <w:rFonts w:asciiTheme="majorHAnsi" w:hAnsiTheme="majorHAnsi" w:cstheme="majorHAnsi"/>
          <w:bCs/>
          <w:i/>
          <w:iCs/>
          <w:sz w:val="24"/>
          <w:szCs w:val="24"/>
        </w:rPr>
        <w:t>repeated</w:t>
      </w:r>
      <w:proofErr w:type="spellEnd"/>
      <w:r w:rsidRPr="001463CC">
        <w:rPr>
          <w:rFonts w:asciiTheme="majorHAnsi" w:hAnsiTheme="majorHAnsi" w:cstheme="majorHAnsi"/>
          <w:bCs/>
          <w:i/>
          <w:iCs/>
          <w:sz w:val="24"/>
          <w:szCs w:val="24"/>
        </w:rPr>
        <w:t xml:space="preserve"> for </w:t>
      </w:r>
      <w:proofErr w:type="spellStart"/>
      <w:r w:rsidRPr="001463CC">
        <w:rPr>
          <w:rFonts w:asciiTheme="majorHAnsi" w:hAnsiTheme="majorHAnsi" w:cstheme="majorHAnsi"/>
          <w:bCs/>
          <w:i/>
          <w:iCs/>
          <w:sz w:val="24"/>
          <w:szCs w:val="24"/>
        </w:rPr>
        <w:t>each</w:t>
      </w:r>
      <w:proofErr w:type="spellEnd"/>
      <w:r w:rsidRPr="001463CC">
        <w:rPr>
          <w:rFonts w:asciiTheme="majorHAnsi" w:hAnsiTheme="majorHAnsi" w:cstheme="majorHAnsi"/>
          <w:bCs/>
          <w:i/>
          <w:iCs/>
          <w:sz w:val="24"/>
          <w:szCs w:val="24"/>
        </w:rPr>
        <w:t xml:space="preserve"> specific </w:t>
      </w:r>
      <w:proofErr w:type="spellStart"/>
      <w:r w:rsidRPr="001463CC">
        <w:rPr>
          <w:rFonts w:asciiTheme="majorHAnsi" w:hAnsiTheme="majorHAnsi" w:cstheme="majorHAnsi"/>
          <w:bCs/>
          <w:i/>
          <w:iCs/>
          <w:sz w:val="24"/>
          <w:szCs w:val="24"/>
        </w:rPr>
        <w:t>objective</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other</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than</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technical</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assistance</w:t>
      </w:r>
      <w:proofErr w:type="spellEnd"/>
      <w:r w:rsidRPr="001463CC">
        <w:rPr>
          <w:rFonts w:asciiTheme="majorHAnsi" w:hAnsiTheme="majorHAnsi" w:cstheme="majorHAnsi"/>
          <w:bCs/>
          <w:i/>
          <w:iCs/>
          <w:sz w:val="24"/>
          <w:szCs w:val="24"/>
        </w:rPr>
        <w:t xml:space="preserve"> )</w:t>
      </w:r>
    </w:p>
    <w:p w14:paraId="54F2C559" w14:textId="77777777" w:rsidR="0042331A" w:rsidRPr="001463CC" w:rsidRDefault="0042331A" w:rsidP="0042331A">
      <w:pPr>
        <w:spacing w:after="120" w:line="240" w:lineRule="auto"/>
        <w:rPr>
          <w:rFonts w:asciiTheme="majorHAnsi" w:hAnsiTheme="majorHAnsi" w:cstheme="majorHAnsi"/>
          <w:i/>
          <w:sz w:val="24"/>
          <w:szCs w:val="24"/>
        </w:rPr>
      </w:pPr>
      <w:proofErr w:type="spellStart"/>
      <w:r w:rsidRPr="001463CC">
        <w:rPr>
          <w:rFonts w:asciiTheme="majorHAnsi" w:hAnsiTheme="majorHAnsi" w:cstheme="majorHAnsi"/>
          <w:i/>
          <w:sz w:val="24"/>
          <w:szCs w:val="24"/>
        </w:rPr>
        <w:t>Reference</w:t>
      </w:r>
      <w:proofErr w:type="spellEnd"/>
      <w:r w:rsidRPr="001463CC">
        <w:rPr>
          <w:rFonts w:asciiTheme="majorHAnsi" w:hAnsiTheme="majorHAnsi" w:cstheme="majorHAnsi"/>
          <w:i/>
          <w:sz w:val="24"/>
          <w:szCs w:val="24"/>
        </w:rPr>
        <w:t xml:space="preserve">: </w:t>
      </w:r>
      <w:proofErr w:type="spellStart"/>
      <w:r w:rsidRPr="001463CC">
        <w:rPr>
          <w:rFonts w:asciiTheme="majorHAnsi" w:hAnsiTheme="majorHAnsi" w:cstheme="majorHAnsi"/>
          <w:i/>
          <w:sz w:val="24"/>
          <w:szCs w:val="24"/>
        </w:rPr>
        <w:t>Article</w:t>
      </w:r>
      <w:proofErr w:type="spellEnd"/>
      <w:r w:rsidRPr="001463CC">
        <w:rPr>
          <w:rFonts w:asciiTheme="majorHAnsi" w:hAnsiTheme="majorHAnsi" w:cstheme="majorHAnsi"/>
          <w:i/>
          <w:sz w:val="24"/>
          <w:szCs w:val="24"/>
        </w:rPr>
        <w:t xml:space="preserve"> 17(2) </w:t>
      </w:r>
      <w:proofErr w:type="spellStart"/>
      <w:r w:rsidRPr="001463CC">
        <w:rPr>
          <w:rFonts w:asciiTheme="majorHAnsi" w:hAnsiTheme="majorHAnsi" w:cstheme="majorHAnsi"/>
          <w:i/>
          <w:sz w:val="24"/>
          <w:szCs w:val="24"/>
        </w:rPr>
        <w:t>and</w:t>
      </w:r>
      <w:proofErr w:type="spellEnd"/>
      <w:r w:rsidRPr="001463CC">
        <w:rPr>
          <w:rFonts w:asciiTheme="majorHAnsi" w:hAnsiTheme="majorHAnsi" w:cstheme="majorHAnsi"/>
          <w:i/>
          <w:sz w:val="24"/>
          <w:szCs w:val="24"/>
        </w:rPr>
        <w:t xml:space="preserve"> 17(4)</w:t>
      </w:r>
    </w:p>
    <w:p w14:paraId="4C534797" w14:textId="088520FD" w:rsidR="008D5733" w:rsidRPr="001A230B" w:rsidRDefault="00AD2CCB" w:rsidP="00C34469">
      <w:pPr>
        <w:pStyle w:val="Heading2"/>
        <w:keepNext w:val="0"/>
        <w:keepLines w:val="0"/>
        <w:spacing w:after="120" w:line="240" w:lineRule="auto"/>
        <w:ind w:left="0" w:firstLine="0"/>
        <w:rPr>
          <w:rFonts w:asciiTheme="majorHAnsi" w:hAnsiTheme="majorHAnsi" w:cstheme="majorHAnsi"/>
          <w:iCs/>
        </w:rPr>
      </w:pPr>
      <w:r w:rsidRPr="001A230B">
        <w:rPr>
          <w:rFonts w:asciiTheme="majorHAnsi" w:eastAsia="Arial Narrow" w:hAnsiTheme="majorHAnsi" w:cstheme="majorHAnsi"/>
          <w:iCs/>
          <w:highlight w:val="yellow"/>
        </w:rPr>
        <w:t xml:space="preserve">2.1. </w:t>
      </w:r>
      <w:proofErr w:type="spellStart"/>
      <w:r w:rsidRPr="001A230B">
        <w:rPr>
          <w:rFonts w:asciiTheme="majorHAnsi" w:eastAsia="Arial Narrow" w:hAnsiTheme="majorHAnsi" w:cstheme="majorHAnsi"/>
          <w:iCs/>
          <w:highlight w:val="yellow"/>
        </w:rPr>
        <w:t>Title</w:t>
      </w:r>
      <w:proofErr w:type="spellEnd"/>
      <w:r w:rsidRPr="001A230B">
        <w:rPr>
          <w:rFonts w:asciiTheme="majorHAnsi" w:eastAsia="Arial Narrow" w:hAnsiTheme="majorHAnsi" w:cstheme="majorHAnsi"/>
          <w:iCs/>
          <w:highlight w:val="yellow"/>
        </w:rPr>
        <w:t xml:space="preserve"> of the specific </w:t>
      </w:r>
      <w:proofErr w:type="spellStart"/>
      <w:r w:rsidRPr="001A230B">
        <w:rPr>
          <w:rFonts w:asciiTheme="majorHAnsi" w:eastAsia="Arial Narrow" w:hAnsiTheme="majorHAnsi" w:cstheme="majorHAnsi"/>
          <w:iCs/>
          <w:highlight w:val="yellow"/>
        </w:rPr>
        <w:t>objective</w:t>
      </w:r>
      <w:proofErr w:type="spellEnd"/>
      <w:r w:rsidRPr="001A230B">
        <w:rPr>
          <w:rFonts w:asciiTheme="majorHAnsi" w:eastAsia="Arial Narrow" w:hAnsiTheme="majorHAnsi" w:cstheme="majorHAnsi"/>
          <w:iCs/>
          <w:highlight w:val="yellow"/>
        </w:rPr>
        <w:t xml:space="preserve"> [300] </w:t>
      </w:r>
      <w:r w:rsidRPr="001A230B">
        <w:rPr>
          <w:rFonts w:asciiTheme="majorHAnsi" w:hAnsiTheme="majorHAnsi" w:cstheme="majorHAnsi"/>
          <w:iCs/>
          <w:highlight w:val="yellow"/>
        </w:rPr>
        <w:t>Sporirea schimburilor de informații dintre și în cadrul autorităților de aplicare a legii și al altor autorități competente și organisme ale Uniunii, precum și cu țările terțe și organizațiile internaționale, și sporirea capacităților aferente ale statelor membre.</w:t>
      </w:r>
      <w:r w:rsidRPr="001A230B">
        <w:rPr>
          <w:rFonts w:asciiTheme="majorHAnsi" w:hAnsiTheme="majorHAnsi" w:cstheme="majorHAnsi"/>
          <w:iCs/>
        </w:rPr>
        <w:t xml:space="preserve"> </w:t>
      </w:r>
    </w:p>
    <w:p w14:paraId="16B434F2" w14:textId="77777777" w:rsidR="00C24F05" w:rsidRPr="00E5757B" w:rsidRDefault="00C24F05" w:rsidP="00C34469">
      <w:pPr>
        <w:spacing w:after="120" w:line="240" w:lineRule="auto"/>
        <w:ind w:left="360"/>
        <w:rPr>
          <w:rFonts w:asciiTheme="majorHAnsi" w:hAnsiTheme="majorHAnsi" w:cstheme="majorHAnsi"/>
          <w:b/>
          <w:sz w:val="24"/>
          <w:szCs w:val="24"/>
        </w:rPr>
      </w:pPr>
      <w:bookmarkStart w:id="5" w:name="_sri6uhszp39t" w:colFirst="0" w:colLast="0"/>
      <w:bookmarkEnd w:id="5"/>
      <w:r w:rsidRPr="00E5757B">
        <w:rPr>
          <w:rFonts w:asciiTheme="majorHAnsi" w:hAnsiTheme="majorHAnsi" w:cstheme="majorHAnsi"/>
          <w:b/>
          <w:sz w:val="24"/>
          <w:szCs w:val="24"/>
        </w:rPr>
        <w:t xml:space="preserve">2.1.1. </w:t>
      </w:r>
      <w:proofErr w:type="spellStart"/>
      <w:r w:rsidRPr="00E5757B">
        <w:rPr>
          <w:rFonts w:asciiTheme="majorHAnsi" w:hAnsiTheme="majorHAnsi" w:cstheme="majorHAnsi"/>
          <w:b/>
          <w:sz w:val="24"/>
          <w:szCs w:val="24"/>
        </w:rPr>
        <w:t>Description</w:t>
      </w:r>
      <w:proofErr w:type="spellEnd"/>
      <w:r w:rsidRPr="00E5757B">
        <w:rPr>
          <w:rFonts w:asciiTheme="majorHAnsi" w:hAnsiTheme="majorHAnsi" w:cstheme="majorHAnsi"/>
          <w:b/>
          <w:sz w:val="24"/>
          <w:szCs w:val="24"/>
        </w:rPr>
        <w:t xml:space="preserve"> of a specific </w:t>
      </w:r>
      <w:proofErr w:type="spellStart"/>
      <w:r w:rsidRPr="00E5757B">
        <w:rPr>
          <w:rFonts w:asciiTheme="majorHAnsi" w:hAnsiTheme="majorHAnsi" w:cstheme="majorHAnsi"/>
          <w:b/>
          <w:sz w:val="24"/>
          <w:szCs w:val="24"/>
        </w:rPr>
        <w:t>objective</w:t>
      </w:r>
      <w:proofErr w:type="spellEnd"/>
      <w:r w:rsidRPr="00E5757B">
        <w:rPr>
          <w:rFonts w:asciiTheme="majorHAnsi" w:hAnsiTheme="majorHAnsi" w:cstheme="majorHAnsi"/>
          <w:b/>
          <w:sz w:val="24"/>
          <w:szCs w:val="24"/>
        </w:rPr>
        <w:t xml:space="preserve"> </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C24F05" w:rsidRPr="004C0798" w14:paraId="0605237B" w14:textId="77777777" w:rsidTr="00280487">
        <w:tc>
          <w:tcPr>
            <w:tcW w:w="9628" w:type="dxa"/>
          </w:tcPr>
          <w:p w14:paraId="1A5FD82C" w14:textId="1F84D262" w:rsidR="00C24F05" w:rsidRPr="004C0798" w:rsidRDefault="00C24F05" w:rsidP="00C34469">
            <w:pPr>
              <w:spacing w:after="120"/>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for </w:t>
            </w:r>
            <w:proofErr w:type="spellStart"/>
            <w:r w:rsidRPr="004C0798">
              <w:rPr>
                <w:rFonts w:asciiTheme="majorHAnsi" w:hAnsiTheme="majorHAnsi" w:cstheme="majorHAnsi"/>
                <w:i/>
                <w:color w:val="808080" w:themeColor="background1" w:themeShade="80"/>
              </w:rPr>
              <w:t>each</w:t>
            </w:r>
            <w:proofErr w:type="spellEnd"/>
            <w:r w:rsidRPr="004C0798">
              <w:rPr>
                <w:rFonts w:asciiTheme="majorHAnsi" w:hAnsiTheme="majorHAnsi" w:cstheme="majorHAnsi"/>
                <w:i/>
                <w:color w:val="808080" w:themeColor="background1" w:themeShade="80"/>
              </w:rPr>
              <w:t xml:space="preserve"> specific </w:t>
            </w:r>
            <w:proofErr w:type="spellStart"/>
            <w:r w:rsidRPr="004C0798">
              <w:rPr>
                <w:rFonts w:asciiTheme="majorHAnsi" w:hAnsiTheme="majorHAnsi" w:cstheme="majorHAnsi"/>
                <w:i/>
                <w:color w:val="808080" w:themeColor="background1" w:themeShade="80"/>
              </w:rPr>
              <w:t>objective</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initial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situation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proposes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by</w:t>
            </w:r>
            <w:proofErr w:type="spellEnd"/>
            <w:r w:rsidRPr="004C0798">
              <w:rPr>
                <w:rFonts w:asciiTheme="majorHAnsi" w:hAnsiTheme="majorHAnsi" w:cstheme="majorHAnsi"/>
                <w:i/>
                <w:color w:val="808080" w:themeColor="background1" w:themeShade="80"/>
              </w:rPr>
              <w:t xml:space="preserve"> the Fund. It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which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measures</w:t>
            </w:r>
            <w:proofErr w:type="spellEnd"/>
            <w:r w:rsidRPr="004C0798">
              <w:rPr>
                <w:rFonts w:asciiTheme="majorHAnsi" w:hAnsiTheme="majorHAnsi" w:cstheme="majorHAnsi"/>
                <w:i/>
                <w:color w:val="808080" w:themeColor="background1" w:themeShade="80"/>
              </w:rPr>
              <w:t xml:space="preserve"> are </w:t>
            </w:r>
            <w:proofErr w:type="spellStart"/>
            <w:r w:rsidRPr="004C0798">
              <w:rPr>
                <w:rFonts w:asciiTheme="majorHAnsi" w:hAnsiTheme="majorHAnsi" w:cstheme="majorHAnsi"/>
                <w:i/>
                <w:color w:val="808080" w:themeColor="background1" w:themeShade="80"/>
              </w:rPr>
              <w:t>addressed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of the Fund;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actions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within</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scope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3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4 of the AMIF, ISF or BMVI </w:t>
            </w:r>
            <w:proofErr w:type="spellStart"/>
            <w:r w:rsidRPr="004C0798">
              <w:rPr>
                <w:rFonts w:asciiTheme="majorHAnsi" w:hAnsiTheme="majorHAnsi" w:cstheme="majorHAnsi"/>
                <w:i/>
                <w:color w:val="808080" w:themeColor="background1" w:themeShade="80"/>
              </w:rPr>
              <w:t>Regulations</w:t>
            </w:r>
            <w:proofErr w:type="spellEnd"/>
            <w:r w:rsidRPr="004C0798">
              <w:rPr>
                <w:rFonts w:asciiTheme="majorHAnsi" w:hAnsiTheme="majorHAnsi" w:cstheme="majorHAnsi"/>
                <w:i/>
                <w:color w:val="808080" w:themeColor="background1" w:themeShade="80"/>
              </w:rPr>
              <w:t>.</w:t>
            </w:r>
          </w:p>
          <w:p w14:paraId="69F4C28F" w14:textId="77777777" w:rsidR="00C24F05" w:rsidRPr="004C0798" w:rsidRDefault="00C24F05" w:rsidP="00C34469">
            <w:pPr>
              <w:spacing w:after="120"/>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lastRenderedPageBreak/>
              <w:t xml:space="preserve">In particular: For </w:t>
            </w:r>
            <w:proofErr w:type="spellStart"/>
            <w:r w:rsidRPr="004C0798">
              <w:rPr>
                <w:rFonts w:asciiTheme="majorHAnsi" w:hAnsiTheme="majorHAnsi" w:cstheme="majorHAnsi"/>
                <w:i/>
                <w:color w:val="808080" w:themeColor="background1" w:themeShade="80"/>
              </w:rPr>
              <w:t>operating</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 </w:t>
            </w:r>
            <w:proofErr w:type="spellStart"/>
            <w:r w:rsidRPr="004C0798">
              <w:rPr>
                <w:rFonts w:asciiTheme="majorHAnsi" w:hAnsiTheme="majorHAnsi" w:cstheme="majorHAnsi"/>
                <w:i/>
                <w:color w:val="808080" w:themeColor="background1" w:themeShade="80"/>
              </w:rPr>
              <w:t>justification</w:t>
            </w:r>
            <w:proofErr w:type="spellEnd"/>
            <w:r w:rsidRPr="004C0798">
              <w:rPr>
                <w:rFonts w:asciiTheme="majorHAnsi" w:hAnsiTheme="majorHAnsi" w:cstheme="majorHAnsi"/>
                <w:i/>
                <w:color w:val="808080" w:themeColor="background1" w:themeShade="80"/>
              </w:rPr>
              <w:t xml:space="preserve"> in line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w:t>
            </w:r>
            <w:proofErr w:type="spellEnd"/>
            <w:r w:rsidRPr="004C0798">
              <w:rPr>
                <w:rFonts w:asciiTheme="majorHAnsi" w:hAnsiTheme="majorHAnsi" w:cstheme="majorHAnsi"/>
                <w:i/>
                <w:color w:val="808080" w:themeColor="background1" w:themeShade="80"/>
              </w:rPr>
              <w:t xml:space="preserve"> 15</w:t>
            </w:r>
            <w:r w:rsidRPr="004C0798">
              <w:rPr>
                <w:rFonts w:asciiTheme="majorHAnsi" w:hAnsiTheme="majorHAnsi" w:cstheme="majorHAnsi"/>
                <w:i/>
                <w:color w:val="808080" w:themeColor="background1" w:themeShade="80"/>
                <w:vertAlign w:val="superscript"/>
              </w:rPr>
              <w:footnoteReference w:id="3"/>
            </w:r>
            <w:r w:rsidRPr="004C0798">
              <w:rPr>
                <w:rFonts w:asciiTheme="majorHAnsi" w:hAnsiTheme="majorHAnsi" w:cstheme="majorHAnsi"/>
                <w:i/>
                <w:color w:val="808080" w:themeColor="background1" w:themeShade="80"/>
              </w:rPr>
              <w:t xml:space="preserve">of the ISF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15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16 of the BMVI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or </w:t>
            </w:r>
            <w:proofErr w:type="spellStart"/>
            <w:r w:rsidRPr="004C0798">
              <w:rPr>
                <w:rFonts w:asciiTheme="majorHAnsi" w:hAnsiTheme="majorHAnsi" w:cstheme="majorHAnsi"/>
                <w:i/>
                <w:color w:val="808080" w:themeColor="background1" w:themeShade="80"/>
              </w:rPr>
              <w:t>Artic</w:t>
            </w:r>
            <w:proofErr w:type="spellEnd"/>
            <w:r w:rsidRPr="004C0798">
              <w:rPr>
                <w:rFonts w:asciiTheme="majorHAnsi" w:hAnsiTheme="majorHAnsi" w:cstheme="majorHAnsi"/>
                <w:i/>
                <w:color w:val="808080" w:themeColor="background1" w:themeShade="80"/>
              </w:rPr>
              <w:t xml:space="preserve">-le 18 of the AMIF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includes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beneficiaries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statutory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responsibilities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tasks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to</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
          <w:p w14:paraId="6DD8D917" w14:textId="77777777" w:rsidR="00C24F05" w:rsidRPr="004C0798" w:rsidRDefault="00C24F05" w:rsidP="00C34469">
            <w:pPr>
              <w:spacing w:after="120"/>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Planned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use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financial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instruments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if</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applicable</w:t>
            </w:r>
            <w:proofErr w:type="spellEnd"/>
            <w:r w:rsidRPr="004C0798">
              <w:rPr>
                <w:rFonts w:asciiTheme="majorHAnsi" w:hAnsiTheme="majorHAnsi" w:cstheme="majorHAnsi"/>
                <w:i/>
                <w:color w:val="808080" w:themeColor="background1" w:themeShade="80"/>
              </w:rPr>
              <w:t>.</w:t>
            </w:r>
          </w:p>
          <w:p w14:paraId="1B577A8D" w14:textId="77777777" w:rsidR="00C24F05" w:rsidRPr="004C0798" w:rsidRDefault="00C24F05" w:rsidP="00C34469">
            <w:pPr>
              <w:spacing w:after="120"/>
              <w:rPr>
                <w:rFonts w:asciiTheme="majorHAnsi" w:hAnsiTheme="majorHAnsi" w:cstheme="majorHAnsi"/>
              </w:rPr>
            </w:pPr>
            <w:r w:rsidRPr="004C0798">
              <w:rPr>
                <w:rFonts w:asciiTheme="majorHAnsi" w:hAnsiTheme="majorHAnsi" w:cstheme="majorHAnsi"/>
                <w:i/>
                <w:color w:val="808080" w:themeColor="background1" w:themeShade="80"/>
              </w:rPr>
              <w:t xml:space="preserve">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(16 000 </w:t>
            </w:r>
            <w:proofErr w:type="spellStart"/>
            <w:r w:rsidRPr="004C0798">
              <w:rPr>
                <w:rFonts w:asciiTheme="majorHAnsi" w:hAnsiTheme="majorHAnsi" w:cstheme="majorHAnsi"/>
                <w:i/>
                <w:color w:val="808080" w:themeColor="background1" w:themeShade="80"/>
              </w:rPr>
              <w:t>characters</w:t>
            </w:r>
            <w:proofErr w:type="spellEnd"/>
            <w:r w:rsidRPr="004C0798">
              <w:rPr>
                <w:rFonts w:asciiTheme="majorHAnsi" w:hAnsiTheme="majorHAnsi" w:cstheme="majorHAnsi"/>
                <w:i/>
                <w:color w:val="808080" w:themeColor="background1" w:themeShade="80"/>
              </w:rPr>
              <w:t>)</w:t>
            </w:r>
          </w:p>
        </w:tc>
      </w:tr>
    </w:tbl>
    <w:p w14:paraId="0141275B" w14:textId="77777777" w:rsidR="00E5757B" w:rsidRDefault="00E5757B" w:rsidP="00C34469">
      <w:pPr>
        <w:spacing w:after="120" w:line="240" w:lineRule="auto"/>
        <w:jc w:val="both"/>
        <w:rPr>
          <w:rFonts w:asciiTheme="majorHAnsi" w:eastAsia="Arial Narrow" w:hAnsiTheme="majorHAnsi" w:cstheme="majorHAnsi"/>
          <w:sz w:val="24"/>
          <w:szCs w:val="24"/>
        </w:rPr>
      </w:pPr>
    </w:p>
    <w:p w14:paraId="7028DDD2" w14:textId="4587AE93"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În ultima perioadă, România a contribuit semnificativ la îmbunătățirea capacității de </w:t>
      </w:r>
      <w:r w:rsidRPr="00E5757B">
        <w:rPr>
          <w:rFonts w:asciiTheme="majorHAnsi" w:eastAsia="Arial" w:hAnsiTheme="majorHAnsi" w:cstheme="majorHAnsi"/>
          <w:b/>
          <w:sz w:val="24"/>
          <w:szCs w:val="24"/>
        </w:rPr>
        <w:t>schimb de informații</w:t>
      </w:r>
      <w:r w:rsidRPr="00E5757B">
        <w:rPr>
          <w:rFonts w:asciiTheme="majorHAnsi" w:eastAsia="Arial Narrow" w:hAnsiTheme="majorHAnsi" w:cstheme="majorHAnsi"/>
          <w:sz w:val="24"/>
          <w:szCs w:val="24"/>
        </w:rPr>
        <w:t xml:space="preserve">, inclusiv cu sprijinul finanțărilor externe nerambursabile. Printre exemple se numără dezvoltarea </w:t>
      </w:r>
      <w:r w:rsidRPr="00E5757B">
        <w:rPr>
          <w:rFonts w:asciiTheme="majorHAnsi" w:eastAsia="Arial Narrow" w:hAnsiTheme="majorHAnsi" w:cstheme="majorHAnsi"/>
          <w:b/>
          <w:sz w:val="24"/>
          <w:szCs w:val="24"/>
        </w:rPr>
        <w:t>Unității Naționale de Informații privind Pasagerii</w:t>
      </w:r>
      <w:r w:rsidRPr="00E5757B">
        <w:rPr>
          <w:rFonts w:asciiTheme="majorHAnsi" w:eastAsia="Arial" w:hAnsiTheme="majorHAnsi" w:cstheme="majorHAnsi"/>
          <w:sz w:val="24"/>
          <w:szCs w:val="24"/>
        </w:rPr>
        <w:t xml:space="preserve">, extinderea rețelei </w:t>
      </w:r>
      <w:r w:rsidRPr="00E5757B">
        <w:rPr>
          <w:rFonts w:asciiTheme="majorHAnsi" w:eastAsia="Arial Narrow" w:hAnsiTheme="majorHAnsi" w:cstheme="majorHAnsi"/>
          <w:b/>
          <w:sz w:val="24"/>
          <w:szCs w:val="24"/>
        </w:rPr>
        <w:t>SIENA</w:t>
      </w:r>
      <w:r w:rsidRPr="00E5757B">
        <w:rPr>
          <w:rFonts w:asciiTheme="majorHAnsi" w:eastAsia="Arial" w:hAnsiTheme="majorHAnsi" w:cstheme="majorHAnsi"/>
          <w:sz w:val="24"/>
          <w:szCs w:val="24"/>
        </w:rPr>
        <w:t xml:space="preserve"> și modernizarea</w:t>
      </w:r>
      <w:r w:rsidRPr="00E5757B">
        <w:rPr>
          <w:rFonts w:asciiTheme="majorHAnsi" w:eastAsia="Arial Narrow" w:hAnsiTheme="majorHAnsi" w:cstheme="majorHAnsi"/>
          <w:b/>
          <w:sz w:val="24"/>
          <w:szCs w:val="24"/>
        </w:rPr>
        <w:t xml:space="preserve"> AFIS.</w:t>
      </w:r>
      <w:r w:rsidRPr="00E5757B">
        <w:rPr>
          <w:rFonts w:asciiTheme="majorHAnsi" w:eastAsia="Arial Narrow" w:hAnsiTheme="majorHAnsi" w:cstheme="majorHAnsi"/>
          <w:sz w:val="24"/>
          <w:szCs w:val="24"/>
        </w:rPr>
        <w:t xml:space="preserve"> </w:t>
      </w:r>
    </w:p>
    <w:p w14:paraId="6AD2BAF8"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În ceea ce privește </w:t>
      </w:r>
      <w:r w:rsidRPr="00E5757B">
        <w:rPr>
          <w:rFonts w:asciiTheme="majorHAnsi" w:eastAsia="Arial Narrow" w:hAnsiTheme="majorHAnsi" w:cstheme="majorHAnsi"/>
          <w:b/>
          <w:sz w:val="24"/>
          <w:szCs w:val="24"/>
        </w:rPr>
        <w:t>AFIS,</w:t>
      </w:r>
      <w:r w:rsidRPr="00E5757B">
        <w:rPr>
          <w:rFonts w:asciiTheme="majorHAnsi" w:eastAsia="Arial Narrow" w:hAnsiTheme="majorHAnsi" w:cstheme="majorHAnsi"/>
          <w:sz w:val="24"/>
          <w:szCs w:val="24"/>
        </w:rPr>
        <w:t xml:space="preserve"> în  perioada următoare sistemul va beneficia de finanțare prin intermediul Mecanismului Financiar Norvegian. Astfel, sistemul va urma să îndeplinească toate cerințele stabilite prin Regulamentele UE nr. 817/2019 și 818/2019 privind stabilirea unui cadru pentru interoperabilitatea între sistemele de informații ale UE în domeniul frontierelor și vizelor și cele în domeniul cooperării polițienești și judiciare, azil și migrație. În vederea asigurării interoperabilității AFIS cu EURODAC, SIS, VIS, dar și cu viitoarele sisteme informatice EES și ECRIS-TCN, sistemul AFIS va avea capacitatea de a prelucra și exportă noile tipuri de fișiere NIST care conțin date dactiloscopice. În plus, odată cu modernizarea sistemului și introducerea posibilității de furnizare a fișierelor tip NIST, se va asigura operaționalizarea schimbului de date dactiloscopice cu FBI, cu țările membre ale organizației PCC SEE, cu Web Interpol Services for Data Management (WISDM), dar și cu statele membre în context </w:t>
      </w:r>
      <w:proofErr w:type="spellStart"/>
      <w:r w:rsidRPr="00E5757B">
        <w:rPr>
          <w:rFonts w:asciiTheme="majorHAnsi" w:eastAsia="Arial Narrow" w:hAnsiTheme="majorHAnsi" w:cstheme="majorHAnsi"/>
          <w:sz w:val="24"/>
          <w:szCs w:val="24"/>
        </w:rPr>
        <w:t>Prüm</w:t>
      </w:r>
      <w:proofErr w:type="spellEnd"/>
      <w:r w:rsidRPr="00E5757B">
        <w:rPr>
          <w:rFonts w:asciiTheme="majorHAnsi" w:eastAsia="Arial Narrow" w:hAnsiTheme="majorHAnsi" w:cstheme="majorHAnsi"/>
          <w:sz w:val="24"/>
          <w:szCs w:val="24"/>
        </w:rPr>
        <w:t>.</w:t>
      </w:r>
    </w:p>
    <w:p w14:paraId="315BBBB3"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b/>
          <w:sz w:val="24"/>
          <w:szCs w:val="24"/>
        </w:rPr>
        <w:t>SIENA</w:t>
      </w:r>
      <w:r w:rsidRPr="00E5757B">
        <w:rPr>
          <w:rFonts w:asciiTheme="majorHAnsi" w:eastAsia="Arial Narrow" w:hAnsiTheme="majorHAnsi" w:cstheme="majorHAnsi"/>
          <w:sz w:val="24"/>
          <w:szCs w:val="24"/>
        </w:rPr>
        <w:t xml:space="preserve"> reprezintă o rețea de comunicare securizată care asigură accesul unităților de poliție la rețeaua Europol și implicit la </w:t>
      </w:r>
      <w:proofErr w:type="spellStart"/>
      <w:r w:rsidRPr="00E5757B">
        <w:rPr>
          <w:rFonts w:asciiTheme="majorHAnsi" w:eastAsia="Arial Narrow" w:hAnsiTheme="majorHAnsi" w:cstheme="majorHAnsi"/>
          <w:sz w:val="24"/>
          <w:szCs w:val="24"/>
        </w:rPr>
        <w:t>aplicaţiile</w:t>
      </w:r>
      <w:proofErr w:type="spellEnd"/>
      <w:r w:rsidRPr="00E5757B">
        <w:rPr>
          <w:rFonts w:asciiTheme="majorHAnsi" w:eastAsia="Arial Narrow" w:hAnsiTheme="majorHAnsi" w:cstheme="majorHAnsi"/>
          <w:sz w:val="24"/>
          <w:szCs w:val="24"/>
        </w:rPr>
        <w:t xml:space="preserve"> şi bazele de date puse la </w:t>
      </w:r>
      <w:proofErr w:type="spellStart"/>
      <w:r w:rsidRPr="00E5757B">
        <w:rPr>
          <w:rFonts w:asciiTheme="majorHAnsi" w:eastAsia="Arial Narrow" w:hAnsiTheme="majorHAnsi" w:cstheme="majorHAnsi"/>
          <w:sz w:val="24"/>
          <w:szCs w:val="24"/>
        </w:rPr>
        <w:t>dispoziţie</w:t>
      </w:r>
      <w:proofErr w:type="spellEnd"/>
      <w:r w:rsidRPr="00E5757B">
        <w:rPr>
          <w:rFonts w:asciiTheme="majorHAnsi" w:eastAsia="Arial Narrow" w:hAnsiTheme="majorHAnsi" w:cstheme="majorHAnsi"/>
          <w:sz w:val="24"/>
          <w:szCs w:val="24"/>
        </w:rPr>
        <w:t xml:space="preserve"> prin intermediul acestora. La nivelul anului 2014, SIENA era implementată la nivelul a 12 autorități de aplicare a legii de la nivel național, Poliția Română prin Unitatea Națională Europol reprezentând punctul de prezență al SIENA în România. Prin intermediul FSI 2014 – 2020, rețeaua SIENA a fost extinsă către cele 42 de unități teritoriale ale României. </w:t>
      </w:r>
    </w:p>
    <w:p w14:paraId="273C8265"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Directiva (UE) 681/2016 privind utilizarea datelor din </w:t>
      </w:r>
      <w:r w:rsidRPr="00E5757B">
        <w:rPr>
          <w:rFonts w:asciiTheme="majorHAnsi" w:eastAsia="Arial Narrow" w:hAnsiTheme="majorHAnsi" w:cstheme="majorHAnsi"/>
          <w:b/>
          <w:sz w:val="24"/>
          <w:szCs w:val="24"/>
        </w:rPr>
        <w:t>registrul cu numele pasagerilor (PNR)</w:t>
      </w:r>
      <w:r w:rsidRPr="00E5757B">
        <w:rPr>
          <w:rFonts w:asciiTheme="majorHAnsi" w:eastAsia="Arial Narrow" w:hAnsiTheme="majorHAnsi" w:cstheme="majorHAnsi"/>
          <w:sz w:val="24"/>
          <w:szCs w:val="24"/>
        </w:rPr>
        <w:t xml:space="preserve"> pentru prevenirea, depistarea, investigarea și urmărirea penală a infracțiunilor de terorism și a infracțiunilor grave a fost transpusă în România prin Legea 284/2018. Dezvoltarea Unității Naționale de Informații privind Pasagerii (UNIP) a beneficiat de finanțare prin FSI 2014-2020 în vederea îmbunătățirii schimbului de informații. Astfel, va fi modernizată soluția informatică, va crește numărul de transportatori aerieni care transmit date PNR și va fi realizată o soluție de </w:t>
      </w:r>
      <w:proofErr w:type="spellStart"/>
      <w:r w:rsidRPr="00E5757B">
        <w:rPr>
          <w:rFonts w:asciiTheme="majorHAnsi" w:eastAsia="Arial Narrow" w:hAnsiTheme="majorHAnsi" w:cstheme="majorHAnsi"/>
          <w:sz w:val="24"/>
          <w:szCs w:val="24"/>
        </w:rPr>
        <w:t>Disaster</w:t>
      </w:r>
      <w:proofErr w:type="spellEnd"/>
      <w:r w:rsidRPr="00E5757B">
        <w:rPr>
          <w:rFonts w:asciiTheme="majorHAnsi" w:eastAsia="Arial Narrow" w:hAnsiTheme="majorHAnsi" w:cstheme="majorHAnsi"/>
          <w:sz w:val="24"/>
          <w:szCs w:val="24"/>
        </w:rPr>
        <w:t xml:space="preserve"> </w:t>
      </w:r>
      <w:proofErr w:type="spellStart"/>
      <w:r w:rsidRPr="00E5757B">
        <w:rPr>
          <w:rFonts w:asciiTheme="majorHAnsi" w:eastAsia="Arial Narrow" w:hAnsiTheme="majorHAnsi" w:cstheme="majorHAnsi"/>
          <w:sz w:val="24"/>
          <w:szCs w:val="24"/>
        </w:rPr>
        <w:t>Recovery</w:t>
      </w:r>
      <w:proofErr w:type="spellEnd"/>
      <w:r w:rsidRPr="00E5757B">
        <w:rPr>
          <w:rFonts w:asciiTheme="majorHAnsi" w:eastAsia="Arial Narrow" w:hAnsiTheme="majorHAnsi" w:cstheme="majorHAnsi"/>
          <w:sz w:val="24"/>
          <w:szCs w:val="24"/>
        </w:rPr>
        <w:t>, concomitent cu pregătirea personalului.</w:t>
      </w:r>
    </w:p>
    <w:p w14:paraId="5763114A"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Se remarcă o tendință de creștere a nevoilor de prelucrare a datelor PNR, luând în considerare și faptul că numărul de pasageri care folosesc frontierele aeriene ale României a crescut semnificativ în ultimii ani (2016 – 14,2 mil.; 2017 – 17,2 mil.; 2018 – 18,6 mil; 2019 – 20,2 mil ), situație care va genera nevoia de optimizare a soluției informatice actuale sau dezvoltarea/implementarea unei noi soluții informatice. </w:t>
      </w:r>
    </w:p>
    <w:p w14:paraId="0E9B315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Totodată, a crescut și numărul de infracțiuni aflate în competența Poliției de Frontieră raportat la valoarea adăugată a activității de </w:t>
      </w:r>
      <w:proofErr w:type="spellStart"/>
      <w:r w:rsidRPr="00E5757B">
        <w:rPr>
          <w:rFonts w:asciiTheme="majorHAnsi" w:eastAsia="Arial Narrow" w:hAnsiTheme="majorHAnsi" w:cstheme="majorHAnsi"/>
          <w:sz w:val="24"/>
          <w:szCs w:val="24"/>
        </w:rPr>
        <w:t>targeting</w:t>
      </w:r>
      <w:proofErr w:type="spellEnd"/>
      <w:r w:rsidRPr="00E5757B">
        <w:rPr>
          <w:rFonts w:asciiTheme="majorHAnsi" w:eastAsia="Arial Narrow" w:hAnsiTheme="majorHAnsi" w:cstheme="majorHAnsi"/>
          <w:sz w:val="24"/>
          <w:szCs w:val="24"/>
        </w:rPr>
        <w:t xml:space="preserve"> în prevenirea și combaterea infracțiunilor de terorism, a infracțiunilor grave și a amenințărilor la adresa siguranței naționale, actuala soluție informatică având limitări în aplicarea/implementarea conceptului de </w:t>
      </w:r>
      <w:proofErr w:type="spellStart"/>
      <w:r w:rsidRPr="00E5757B">
        <w:rPr>
          <w:rFonts w:asciiTheme="majorHAnsi" w:eastAsia="Arial Narrow" w:hAnsiTheme="majorHAnsi" w:cstheme="majorHAnsi"/>
          <w:sz w:val="24"/>
          <w:szCs w:val="24"/>
        </w:rPr>
        <w:t>targeting</w:t>
      </w:r>
      <w:proofErr w:type="spellEnd"/>
      <w:r w:rsidRPr="00E5757B">
        <w:rPr>
          <w:rFonts w:asciiTheme="majorHAnsi" w:eastAsia="Arial Narrow" w:hAnsiTheme="majorHAnsi" w:cstheme="majorHAnsi"/>
          <w:sz w:val="24"/>
          <w:szCs w:val="24"/>
        </w:rPr>
        <w:t xml:space="preserve"> raportat la modalitățile concrete </w:t>
      </w:r>
      <w:r w:rsidRPr="00E5757B">
        <w:rPr>
          <w:rFonts w:asciiTheme="majorHAnsi" w:eastAsia="Arial Narrow" w:hAnsiTheme="majorHAnsi" w:cstheme="majorHAnsi"/>
          <w:sz w:val="24"/>
          <w:szCs w:val="24"/>
        </w:rPr>
        <w:lastRenderedPageBreak/>
        <w:t>de creare/implementare/adaptare/monitorizare și actualizare a profilurilor de risc, coroborat cu aspecte privind recepția datelor PNR și asigurarea calității acestora.</w:t>
      </w:r>
    </w:p>
    <w:p w14:paraId="72C131FE"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România va acorda și în viitor o atenție sporită </w:t>
      </w:r>
      <w:r w:rsidRPr="00E5757B">
        <w:rPr>
          <w:rFonts w:asciiTheme="majorHAnsi" w:eastAsia="Arial Narrow" w:hAnsiTheme="majorHAnsi" w:cstheme="majorHAnsi"/>
          <w:b/>
          <w:sz w:val="24"/>
          <w:szCs w:val="24"/>
        </w:rPr>
        <w:t xml:space="preserve">gestionării sistemelor europene de </w:t>
      </w:r>
      <w:proofErr w:type="spellStart"/>
      <w:r w:rsidRPr="00E5757B">
        <w:rPr>
          <w:rFonts w:asciiTheme="majorHAnsi" w:eastAsia="Arial Narrow" w:hAnsiTheme="majorHAnsi" w:cstheme="majorHAnsi"/>
          <w:b/>
          <w:sz w:val="24"/>
          <w:szCs w:val="24"/>
        </w:rPr>
        <w:t>informaţii</w:t>
      </w:r>
      <w:proofErr w:type="spellEnd"/>
      <w:r w:rsidRPr="00E5757B">
        <w:rPr>
          <w:rFonts w:asciiTheme="majorHAnsi" w:eastAsia="Arial Narrow" w:hAnsiTheme="majorHAnsi" w:cstheme="majorHAnsi"/>
          <w:b/>
          <w:sz w:val="24"/>
          <w:szCs w:val="24"/>
        </w:rPr>
        <w:t xml:space="preserve">.  </w:t>
      </w:r>
      <w:r w:rsidRPr="00E5757B">
        <w:rPr>
          <w:rFonts w:asciiTheme="majorHAnsi" w:eastAsia="Arial Narrow" w:hAnsiTheme="majorHAnsi" w:cstheme="majorHAnsi"/>
          <w:sz w:val="24"/>
          <w:szCs w:val="24"/>
        </w:rPr>
        <w:t xml:space="preserve">Astfel, pentru respectarea angajamentului asumat la nivel european de a implementa la timp noua arhitectură a sistemelor europene de informații, a fost constituit un  Comitet de coordonare a noii arhitecturi a sistemelor europene de informații pentru frontieră şi securitate, ce funcționează în cadrul Ministerului Afacerilor Interne. În acest scop, România a elaborat un document programatic și de monitorizare a implementării tuturor sistemelor- </w:t>
      </w:r>
      <w:proofErr w:type="spellStart"/>
      <w:r w:rsidRPr="00E5757B">
        <w:rPr>
          <w:rFonts w:asciiTheme="majorHAnsi" w:eastAsia="Arial Narrow" w:hAnsiTheme="majorHAnsi" w:cstheme="majorHAnsi"/>
          <w:sz w:val="24"/>
          <w:szCs w:val="24"/>
        </w:rPr>
        <w:t>Masterplan</w:t>
      </w:r>
      <w:proofErr w:type="spellEnd"/>
      <w:r w:rsidRPr="00E5757B">
        <w:rPr>
          <w:rFonts w:asciiTheme="majorHAnsi" w:eastAsia="Arial Narrow" w:hAnsiTheme="majorHAnsi" w:cstheme="majorHAnsi"/>
          <w:sz w:val="24"/>
          <w:szCs w:val="24"/>
        </w:rPr>
        <w:t xml:space="preserve">- care </w:t>
      </w:r>
      <w:proofErr w:type="spellStart"/>
      <w:r w:rsidRPr="00E5757B">
        <w:rPr>
          <w:rFonts w:asciiTheme="majorHAnsi" w:eastAsia="Arial Narrow" w:hAnsiTheme="majorHAnsi" w:cstheme="majorHAnsi"/>
          <w:sz w:val="24"/>
          <w:szCs w:val="24"/>
        </w:rPr>
        <w:t>contine</w:t>
      </w:r>
      <w:proofErr w:type="spellEnd"/>
      <w:r w:rsidRPr="00E5757B">
        <w:rPr>
          <w:rFonts w:asciiTheme="majorHAnsi" w:eastAsia="Arial Narrow" w:hAnsiTheme="majorHAnsi" w:cstheme="majorHAnsi"/>
          <w:sz w:val="24"/>
          <w:szCs w:val="24"/>
        </w:rPr>
        <w:t xml:space="preserve"> toate măsurile avute în vedere pentru reușita acestui obiectiv.</w:t>
      </w:r>
    </w:p>
    <w:p w14:paraId="78A7D77A"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Totodată, în conformitate cu direcția de acțiune 2.3. aferentă obiectivul strategic nr. 2 din Strategia națională de </w:t>
      </w:r>
      <w:r w:rsidRPr="00E5757B">
        <w:rPr>
          <w:rFonts w:asciiTheme="majorHAnsi" w:eastAsia="Arial" w:hAnsiTheme="majorHAnsi" w:cstheme="majorHAnsi"/>
          <w:b/>
          <w:sz w:val="24"/>
          <w:szCs w:val="24"/>
        </w:rPr>
        <w:t xml:space="preserve">protecție a infrastructurilor critice </w:t>
      </w:r>
      <w:r w:rsidRPr="00E5757B">
        <w:rPr>
          <w:rFonts w:asciiTheme="majorHAnsi" w:eastAsia="Arial Narrow" w:hAnsiTheme="majorHAnsi" w:cstheme="majorHAnsi"/>
          <w:sz w:val="24"/>
          <w:szCs w:val="24"/>
        </w:rPr>
        <w:t>aprobată prin HG nr. 718/2011, se prevede punerea în aplicare la nivel național a unui mecanism de comunicare adecvat între autoritățile naționale responsabile și ofițerii de legătură pentru securitate sau echivalenții acestora, în scopul eficientizării schimbului de informații relevante privind riscurile și amenințările identificate în legătură cu infrastructurile critice respective.</w:t>
      </w:r>
    </w:p>
    <w:p w14:paraId="5A026D69"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În domeniul </w:t>
      </w:r>
      <w:r w:rsidRPr="00E5757B">
        <w:rPr>
          <w:rFonts w:asciiTheme="majorHAnsi" w:eastAsia="Arial Narrow" w:hAnsiTheme="majorHAnsi" w:cstheme="majorHAnsi"/>
          <w:b/>
          <w:sz w:val="24"/>
          <w:szCs w:val="24"/>
        </w:rPr>
        <w:t>armelor de foc,</w:t>
      </w:r>
      <w:r w:rsidRPr="00E5757B">
        <w:rPr>
          <w:rFonts w:asciiTheme="majorHAnsi" w:eastAsia="Arial Narrow" w:hAnsiTheme="majorHAnsi" w:cstheme="majorHAnsi"/>
          <w:sz w:val="24"/>
          <w:szCs w:val="24"/>
        </w:rPr>
        <w:t xml:space="preserve"> avansul tehnologic al ultimilor ani a avut un impact decisiv asupra dezvoltării mijloacelor și metodelor de identificare a acestora, în prezent fiind gestionate și stocate date privind arma, muniția, fabricantul, deținătorul etc. Pe viitor, aceste informații pot fi valorificate în schițarea unui istoric al tranzacțiilor și al deținătorilor, detectarea rutelor de traficare și a tendințelor de procurare (de ex. arme reactivate, arme cu gaze convertite în arme de foc, arme de foc provenite din zonele de conflict militar etc), concomitent fiind disponibile date despre părțile componente ale armei sau muniției utilizate. Totodată, informațiile obținute despre arme furate, pierdute sau mijloace de probă vor face obiectul unor semnalări în Sistemul de Informații Schengen, aceasta fiind si una dintre prioritățile identificate în fișa de țară a României.</w:t>
      </w:r>
    </w:p>
    <w:p w14:paraId="2A2C4C5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În timp ce aplicația </w:t>
      </w:r>
      <w:proofErr w:type="spellStart"/>
      <w:r w:rsidRPr="00E5757B">
        <w:rPr>
          <w:rFonts w:asciiTheme="majorHAnsi" w:eastAsia="Arial Narrow" w:hAnsiTheme="majorHAnsi" w:cstheme="majorHAnsi"/>
          <w:b/>
          <w:sz w:val="24"/>
          <w:szCs w:val="24"/>
        </w:rPr>
        <w:t>iARMS</w:t>
      </w:r>
      <w:proofErr w:type="spellEnd"/>
      <w:r w:rsidRPr="00E5757B">
        <w:rPr>
          <w:rFonts w:asciiTheme="majorHAnsi" w:eastAsia="Arial Narrow" w:hAnsiTheme="majorHAnsi" w:cstheme="majorHAnsi"/>
          <w:sz w:val="24"/>
          <w:szCs w:val="24"/>
        </w:rPr>
        <w:t xml:space="preserve"> verifică dacă o armă este raportată ca sustrasă/traficată/introdusă prin contrabandă, într-un anumit stat, prin utilizarea unui sistem automat de identificare balistică a armei după urmele de tragere create pe gloanțe și tuburile trase, precum și realizarea schimbului internațional de date balistice, se va putea verifica dacă arma traficată a fost folosită la fapte în spațiul național și/sau european, venind în completarea activității investigative. </w:t>
      </w:r>
    </w:p>
    <w:p w14:paraId="007A1887"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Activitatea de </w:t>
      </w:r>
      <w:r w:rsidRPr="00E5757B">
        <w:rPr>
          <w:rFonts w:asciiTheme="majorHAnsi" w:eastAsia="Arial Narrow" w:hAnsiTheme="majorHAnsi" w:cstheme="majorHAnsi"/>
          <w:b/>
          <w:sz w:val="24"/>
          <w:szCs w:val="24"/>
        </w:rPr>
        <w:t>schimb de date genetice</w:t>
      </w:r>
      <w:r w:rsidRPr="00E5757B">
        <w:rPr>
          <w:rFonts w:asciiTheme="majorHAnsi" w:eastAsia="Arial Narrow" w:hAnsiTheme="majorHAnsi" w:cstheme="majorHAnsi"/>
          <w:sz w:val="24"/>
          <w:szCs w:val="24"/>
        </w:rPr>
        <w:t xml:space="preserve"> se va intensifica semnificativ în contextul Directivei 93/2011, a Deciziei 2008/615/JAI, Deciziei 2008/616/JAI, Regulamentului 2018/1862 și Deciziei 905/2009 privind acreditarea furnizorilor de servicii de expertiză criminalistică care efectuează activități de laborator. În același context, numărul crescut al profilurilor genetice obținute vor face în continuare obiectul schimbului de date genetice, realizat prin intermediul mecanismelor de cooperare internațională (Tratatul </w:t>
      </w:r>
      <w:proofErr w:type="spellStart"/>
      <w:r w:rsidRPr="00E5757B">
        <w:rPr>
          <w:rFonts w:asciiTheme="majorHAnsi" w:eastAsia="Arial Narrow" w:hAnsiTheme="majorHAnsi" w:cstheme="majorHAnsi"/>
          <w:sz w:val="24"/>
          <w:szCs w:val="24"/>
        </w:rPr>
        <w:t>Prum</w:t>
      </w:r>
      <w:proofErr w:type="spellEnd"/>
      <w:r w:rsidRPr="00E5757B">
        <w:rPr>
          <w:rFonts w:asciiTheme="majorHAnsi" w:eastAsia="Arial Narrow" w:hAnsiTheme="majorHAnsi" w:cstheme="majorHAnsi"/>
          <w:sz w:val="24"/>
          <w:szCs w:val="24"/>
        </w:rPr>
        <w:t xml:space="preserve">), aducând beneficii sporite la nivel național și european. Toate aceste demersuri vor necesita susținere prin consolidarea capacității operaționale în domeniul realizării analizelor genetice.  </w:t>
      </w:r>
    </w:p>
    <w:p w14:paraId="670BA1DF"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Potențialul </w:t>
      </w:r>
      <w:r w:rsidRPr="00E5757B">
        <w:rPr>
          <w:rFonts w:asciiTheme="majorHAnsi" w:eastAsia="Arial Narrow" w:hAnsiTheme="majorHAnsi" w:cstheme="majorHAnsi"/>
          <w:b/>
          <w:sz w:val="24"/>
          <w:szCs w:val="24"/>
        </w:rPr>
        <w:t>atacurilor CBRN</w:t>
      </w:r>
      <w:r w:rsidRPr="00E5757B">
        <w:rPr>
          <w:rFonts w:asciiTheme="majorHAnsi" w:eastAsia="Arial Narrow" w:hAnsiTheme="majorHAnsi" w:cstheme="majorHAnsi"/>
          <w:sz w:val="24"/>
          <w:szCs w:val="24"/>
        </w:rPr>
        <w:t xml:space="preserve"> este subliniat în mod vizibil în propaganda teroristă, presa jihadistă exprimându-și intențiile de a comite atacuri CBRN și distribuind – prin intermediul diferitor platforme de comunicare socială – posibile tactici de atac și ținte. În acest context, se impune consolidarea relațiilor de colaborare și intensificarea relațiilor de cooperare printr-un schimb eficient și operativ de date și informații cu statele din zona balcanică, prin prisma relațiilor dezvoltate anterior cu structuri similare în domeniu. Totodată, este necesară asigurarea unei identificări și a unei caracterizări rapide, precum și a unor mecanisme rapide de punere în comun a probelor obținute din atacuri CBRN, aspecte ce vor fi realizate prin dezvoltarea capabilităților laboratorului institutului național de criminalistică. Concomitent, laboratorul trebuie conectat la baza </w:t>
      </w:r>
      <w:r w:rsidRPr="00E5757B">
        <w:rPr>
          <w:rFonts w:asciiTheme="majorHAnsi" w:eastAsia="Arial Narrow" w:hAnsiTheme="majorHAnsi" w:cstheme="majorHAnsi"/>
          <w:b/>
          <w:sz w:val="24"/>
          <w:szCs w:val="24"/>
        </w:rPr>
        <w:t>EBDS</w:t>
      </w:r>
      <w:r w:rsidRPr="00E5757B">
        <w:rPr>
          <w:rFonts w:asciiTheme="majorHAnsi" w:eastAsia="Arial Narrow" w:hAnsiTheme="majorHAnsi" w:cstheme="majorHAnsi"/>
          <w:sz w:val="24"/>
          <w:szCs w:val="24"/>
        </w:rPr>
        <w:t xml:space="preserve"> a Europol pentru asigurarea sinergiei în domeniul schimbului de informații și al consolidării capacității Statelor Membre în domeniul intervențiilor în situații de criză</w:t>
      </w:r>
    </w:p>
    <w:p w14:paraId="444DD602"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lastRenderedPageBreak/>
        <w:t xml:space="preserve">În prezent, pe teritoriul României sunt comercializate o mare parte din bunurile provenite din săvârșirea de infracțiuni în spațiul european. În acest context se consideră benefică realizarea unei platforme online destinată cetățenilor și organelor judiciare naționale și din statele membre UE, în vederea  verificării </w:t>
      </w:r>
      <w:r w:rsidRPr="00E5757B">
        <w:rPr>
          <w:rFonts w:asciiTheme="majorHAnsi" w:eastAsia="Arial" w:hAnsiTheme="majorHAnsi" w:cstheme="majorHAnsi"/>
          <w:b/>
          <w:sz w:val="24"/>
          <w:szCs w:val="24"/>
        </w:rPr>
        <w:t xml:space="preserve">provenienței licite a bunurilor </w:t>
      </w:r>
      <w:r w:rsidRPr="00E5757B">
        <w:rPr>
          <w:rFonts w:asciiTheme="majorHAnsi" w:eastAsia="Arial Narrow" w:hAnsiTheme="majorHAnsi" w:cstheme="majorHAnsi"/>
          <w:sz w:val="24"/>
          <w:szCs w:val="24"/>
        </w:rPr>
        <w:t xml:space="preserve">achiziționate. Platforma ar putea fi alimentată cu informații despre bunuri furate cert individualizate, prin categorie și serie/număr, de către organele judiciare ca urmare a înregistrării sesizărilor cu privire la comiterea unor fapte penale. Realizarea platformei ar permite accesarea acesteia de către cetățeni, în condiții de siguranță.  </w:t>
      </w:r>
    </w:p>
    <w:p w14:paraId="7917E28A"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b/>
          <w:sz w:val="24"/>
          <w:szCs w:val="24"/>
        </w:rPr>
        <w:t xml:space="preserve">Pornografia infantilă </w:t>
      </w:r>
      <w:r w:rsidRPr="00E5757B">
        <w:rPr>
          <w:rFonts w:asciiTheme="majorHAnsi" w:eastAsia="Arial Narrow" w:hAnsiTheme="majorHAnsi" w:cstheme="majorHAnsi"/>
          <w:sz w:val="24"/>
          <w:szCs w:val="24"/>
        </w:rPr>
        <w:t>prin sisteme informatice înregistrează un trend ascendent, fiind identificată ca prioritate și în fișa de țară a României. Se poate observa o creștere a numărului de cazuri, datorită accesului facil la tehnologie atât al infractorilor cât și al victimelor (în special în cazul auto producerii de material pornografic). Informațiile primite indică puternic creșterea activității online de către cei care caută materiale pentru abuzuri asupra copiilor. Aceasta este în concordanță cu postările în forumuri dedicate de către infractori primind oportunități de a interacționa cu copiii care sunt în această perioadă mai vulnerabili din cauza izolării, mai puțin supravegheați și cu expunere online mai mare.</w:t>
      </w:r>
    </w:p>
    <w:p w14:paraId="245AC3D7"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În prezent, datele legate de cauzele din domeniul </w:t>
      </w:r>
      <w:r w:rsidRPr="00E5757B">
        <w:rPr>
          <w:rFonts w:asciiTheme="majorHAnsi" w:eastAsia="Arial Narrow" w:hAnsiTheme="majorHAnsi" w:cstheme="majorHAnsi"/>
          <w:b/>
          <w:sz w:val="24"/>
          <w:szCs w:val="24"/>
        </w:rPr>
        <w:t>criminalității informatice</w:t>
      </w:r>
      <w:r w:rsidRPr="00E5757B">
        <w:rPr>
          <w:rFonts w:asciiTheme="majorHAnsi" w:eastAsia="Arial Narrow" w:hAnsiTheme="majorHAnsi" w:cstheme="majorHAnsi"/>
          <w:sz w:val="24"/>
          <w:szCs w:val="24"/>
        </w:rPr>
        <w:t xml:space="preserve"> sunt descentralizate, existând de foarte multe ori sincope în a înțelege fenomenul în totalitate, la nivel național, astfel încât este necesară consolidarea schimbului de date și informații între autoritățile de aplicare a legii din România.</w:t>
      </w:r>
    </w:p>
    <w:p w14:paraId="4917E4C0"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În ceea ce </w:t>
      </w:r>
      <w:proofErr w:type="spellStart"/>
      <w:r w:rsidRPr="00E5757B">
        <w:rPr>
          <w:rFonts w:asciiTheme="majorHAnsi" w:eastAsia="Arial" w:hAnsiTheme="majorHAnsi" w:cstheme="majorHAnsi"/>
          <w:sz w:val="24"/>
          <w:szCs w:val="24"/>
        </w:rPr>
        <w:t>ce</w:t>
      </w:r>
      <w:proofErr w:type="spellEnd"/>
      <w:r w:rsidRPr="00E5757B">
        <w:rPr>
          <w:rFonts w:asciiTheme="majorHAnsi" w:eastAsia="Arial" w:hAnsiTheme="majorHAnsi" w:cstheme="majorHAnsi"/>
          <w:sz w:val="24"/>
          <w:szCs w:val="24"/>
        </w:rPr>
        <w:t xml:space="preserve"> privește </w:t>
      </w:r>
      <w:r w:rsidRPr="00E5757B">
        <w:rPr>
          <w:rFonts w:asciiTheme="majorHAnsi" w:eastAsia="Arial Narrow" w:hAnsiTheme="majorHAnsi" w:cstheme="majorHAnsi"/>
          <w:b/>
          <w:sz w:val="24"/>
          <w:szCs w:val="24"/>
        </w:rPr>
        <w:t>infracțiunile  cu instrumente de plată electronică,</w:t>
      </w:r>
      <w:r w:rsidRPr="00E5757B">
        <w:rPr>
          <w:rFonts w:asciiTheme="majorHAnsi" w:eastAsia="Arial Narrow" w:hAnsiTheme="majorHAnsi" w:cstheme="majorHAnsi"/>
          <w:sz w:val="24"/>
          <w:szCs w:val="24"/>
        </w:rPr>
        <w:t xml:space="preserve"> acestea se afla la un nivel stabil, utilizarea frauduloasă a datelor cardurilor bancare fiind în creștere datorită creșterii numărului de utilizatori și lipsei de prevenție din partea utilizatorilor. Se poate anticipa o creștere a acestui gen de fapte, în special în zona fraudelor cu instrumente de plată electronică online, accentuată în actualul context COVID 19, de utilizarea cardurilor bancare la achiziționarea de bunuri și servicii în mediul online și utilizarea cardurilor pentru plata produselor și serviciilor la POS. Utilizarea tot mai frecventă în mediul online a cardurilor bancare, sugerată chiar de reprezentanții sistemului bancar ca măsură anti COVID va atrage cu certitudine atenția grupărilor infracționale care vor încerca prin diverse metode sa  compromit aceste facilități de plată.</w:t>
      </w:r>
    </w:p>
    <w:p w14:paraId="34AF64D4"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Totodată se poate observa o mutație în aceasta zona infracțională, în sensul că membrii grupărilor infracționale specializate în infracțiuni cu instrumente de plata se pot orienta spre zona atacurilor de tip ATM malware sau </w:t>
      </w:r>
      <w:proofErr w:type="spellStart"/>
      <w:r w:rsidRPr="00E5757B">
        <w:rPr>
          <w:rFonts w:asciiTheme="majorHAnsi" w:eastAsia="Arial Narrow" w:hAnsiTheme="majorHAnsi" w:cstheme="majorHAnsi"/>
          <w:sz w:val="24"/>
          <w:szCs w:val="24"/>
        </w:rPr>
        <w:t>BlackBox</w:t>
      </w:r>
      <w:proofErr w:type="spellEnd"/>
      <w:r w:rsidRPr="00E5757B">
        <w:rPr>
          <w:rFonts w:asciiTheme="majorHAnsi" w:eastAsia="Arial Narrow" w:hAnsiTheme="majorHAnsi" w:cstheme="majorHAnsi"/>
          <w:sz w:val="24"/>
          <w:szCs w:val="24"/>
        </w:rPr>
        <w:t xml:space="preserve"> </w:t>
      </w:r>
      <w:proofErr w:type="spellStart"/>
      <w:r w:rsidRPr="00E5757B">
        <w:rPr>
          <w:rFonts w:asciiTheme="majorHAnsi" w:eastAsia="Arial Narrow" w:hAnsiTheme="majorHAnsi" w:cstheme="majorHAnsi"/>
          <w:sz w:val="24"/>
          <w:szCs w:val="24"/>
        </w:rPr>
        <w:t>attacks</w:t>
      </w:r>
      <w:proofErr w:type="spellEnd"/>
      <w:r w:rsidRPr="00E5757B">
        <w:rPr>
          <w:rFonts w:asciiTheme="majorHAnsi" w:eastAsia="Arial Narrow" w:hAnsiTheme="majorHAnsi" w:cstheme="majorHAnsi"/>
          <w:sz w:val="24"/>
          <w:szCs w:val="24"/>
        </w:rPr>
        <w:t xml:space="preserve"> împotriva bancomatelor, măsură în care, acest mod de operare devine tot mai accesibil.</w:t>
      </w:r>
    </w:p>
    <w:p w14:paraId="47BBF301"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În domeniul </w:t>
      </w:r>
      <w:r w:rsidRPr="00E5757B">
        <w:rPr>
          <w:rFonts w:asciiTheme="majorHAnsi" w:eastAsia="Arial Narrow" w:hAnsiTheme="majorHAnsi" w:cstheme="majorHAnsi"/>
          <w:b/>
          <w:sz w:val="24"/>
          <w:szCs w:val="24"/>
        </w:rPr>
        <w:t>fraudelor informatice</w:t>
      </w:r>
      <w:r w:rsidRPr="00E5757B">
        <w:rPr>
          <w:rFonts w:asciiTheme="majorHAnsi" w:eastAsia="Arial Narrow" w:hAnsiTheme="majorHAnsi" w:cstheme="majorHAnsi"/>
          <w:sz w:val="24"/>
          <w:szCs w:val="24"/>
        </w:rPr>
        <w:t xml:space="preserve"> se înregistrează o diversificare a modurilor de operare, acestea urmărind tot mai mult utilizarea tehnologiei digitale și a oportunităților oferite de internet. Campaniile de </w:t>
      </w:r>
      <w:proofErr w:type="spellStart"/>
      <w:r w:rsidRPr="00E5757B">
        <w:rPr>
          <w:rFonts w:asciiTheme="majorHAnsi" w:eastAsia="Arial Narrow" w:hAnsiTheme="majorHAnsi" w:cstheme="majorHAnsi"/>
          <w:sz w:val="24"/>
          <w:szCs w:val="24"/>
        </w:rPr>
        <w:t>phishing</w:t>
      </w:r>
      <w:proofErr w:type="spellEnd"/>
      <w:r w:rsidRPr="00E5757B">
        <w:rPr>
          <w:rFonts w:asciiTheme="majorHAnsi" w:eastAsia="Arial Narrow" w:hAnsiTheme="majorHAnsi" w:cstheme="majorHAnsi"/>
          <w:sz w:val="24"/>
          <w:szCs w:val="24"/>
        </w:rPr>
        <w:t xml:space="preserve">, din ce în ce mai diverse și sofisticate, ofertele de produse și servicii la prețuri avantajoase, promovate în mediul online, sub diverse forme: site-uri false, site-uri de </w:t>
      </w:r>
      <w:proofErr w:type="spellStart"/>
      <w:r w:rsidRPr="00E5757B">
        <w:rPr>
          <w:rFonts w:asciiTheme="majorHAnsi" w:eastAsia="Arial Narrow" w:hAnsiTheme="majorHAnsi" w:cstheme="majorHAnsi"/>
          <w:sz w:val="24"/>
          <w:szCs w:val="24"/>
        </w:rPr>
        <w:t>scam</w:t>
      </w:r>
      <w:proofErr w:type="spellEnd"/>
      <w:r w:rsidRPr="00E5757B">
        <w:rPr>
          <w:rFonts w:asciiTheme="majorHAnsi" w:eastAsia="Arial Narrow" w:hAnsiTheme="majorHAnsi" w:cstheme="majorHAnsi"/>
          <w:sz w:val="24"/>
          <w:szCs w:val="24"/>
        </w:rPr>
        <w:t xml:space="preserve">, rețele de socializare, campanii de email,  sunt </w:t>
      </w:r>
      <w:proofErr w:type="spellStart"/>
      <w:r w:rsidRPr="00E5757B">
        <w:rPr>
          <w:rFonts w:asciiTheme="majorHAnsi" w:eastAsia="Arial Narrow" w:hAnsiTheme="majorHAnsi" w:cstheme="majorHAnsi"/>
          <w:sz w:val="24"/>
          <w:szCs w:val="24"/>
        </w:rPr>
        <w:t>cateva</w:t>
      </w:r>
      <w:proofErr w:type="spellEnd"/>
      <w:r w:rsidRPr="00E5757B">
        <w:rPr>
          <w:rFonts w:asciiTheme="majorHAnsi" w:eastAsia="Arial Narrow" w:hAnsiTheme="majorHAnsi" w:cstheme="majorHAnsi"/>
          <w:sz w:val="24"/>
          <w:szCs w:val="24"/>
        </w:rPr>
        <w:t xml:space="preserve"> din formele de manifestare ale fraudelor în mediul online. Important de remarcat este faptul că o parte din aceste fraude vizează victime cu potențial </w:t>
      </w:r>
      <w:proofErr w:type="spellStart"/>
      <w:r w:rsidRPr="00E5757B">
        <w:rPr>
          <w:rFonts w:asciiTheme="majorHAnsi" w:eastAsia="Arial Narrow" w:hAnsiTheme="majorHAnsi" w:cstheme="majorHAnsi"/>
          <w:sz w:val="24"/>
          <w:szCs w:val="24"/>
        </w:rPr>
        <w:t>finaciar</w:t>
      </w:r>
      <w:proofErr w:type="spellEnd"/>
      <w:r w:rsidRPr="00E5757B">
        <w:rPr>
          <w:rFonts w:asciiTheme="majorHAnsi" w:eastAsia="Arial Narrow" w:hAnsiTheme="majorHAnsi" w:cstheme="majorHAnsi"/>
          <w:sz w:val="24"/>
          <w:szCs w:val="24"/>
        </w:rPr>
        <w:t xml:space="preserve">, în special companii private sau instituții de stat. O creștere majoră atât la nivel național cât și internațional se referă la cazurile de tip BEC (Business Email Compromise ) în care grupările infracționale transnaționale organizate reușesc să compromită modul de desfășurare a afacerilor între partenerii de afaceri, de cele mai multe ori aflați în țări diferite, obțin informații confidențiale relevante, și astfel reușesc să obțină importante sume de bani, sume care ulterior sunt transferate în conturi din țări unde cooperarea internațională este deficitară. </w:t>
      </w:r>
    </w:p>
    <w:p w14:paraId="10664CFA"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Important de menționat este și faptul că structura centrală de combatere a criminalității informatice din cadrul Poliției Române este implicată în gestionarea cererilor de asistență și a cererilor de conservare de date informatice transmise prin intermediul </w:t>
      </w:r>
      <w:r w:rsidRPr="00E5757B">
        <w:rPr>
          <w:rFonts w:asciiTheme="majorHAnsi" w:eastAsia="Arial" w:hAnsiTheme="majorHAnsi" w:cstheme="majorHAnsi"/>
          <w:b/>
          <w:sz w:val="24"/>
          <w:szCs w:val="24"/>
        </w:rPr>
        <w:t xml:space="preserve">rețelei de puncte de contact 24/7 </w:t>
      </w:r>
      <w:r w:rsidRPr="00E5757B">
        <w:rPr>
          <w:rFonts w:asciiTheme="majorHAnsi" w:eastAsia="Arial Narrow" w:hAnsiTheme="majorHAnsi" w:cstheme="majorHAnsi"/>
          <w:sz w:val="24"/>
          <w:szCs w:val="24"/>
        </w:rPr>
        <w:t xml:space="preserve">organizată în baza  Convenției privind combaterea criminalității informatice de la Budapesta cât și în cadrul Rețelei G7 24/7 </w:t>
      </w:r>
      <w:proofErr w:type="spellStart"/>
      <w:r w:rsidRPr="00E5757B">
        <w:rPr>
          <w:rFonts w:asciiTheme="majorHAnsi" w:eastAsia="Arial Narrow" w:hAnsiTheme="majorHAnsi" w:cstheme="majorHAnsi"/>
          <w:sz w:val="24"/>
          <w:szCs w:val="24"/>
        </w:rPr>
        <w:t>High</w:t>
      </w:r>
      <w:proofErr w:type="spellEnd"/>
      <w:r w:rsidRPr="00E5757B">
        <w:rPr>
          <w:rFonts w:asciiTheme="majorHAnsi" w:eastAsia="Arial Narrow" w:hAnsiTheme="majorHAnsi" w:cstheme="majorHAnsi"/>
          <w:sz w:val="24"/>
          <w:szCs w:val="24"/>
        </w:rPr>
        <w:t xml:space="preserve"> </w:t>
      </w:r>
      <w:proofErr w:type="spellStart"/>
      <w:r w:rsidRPr="00E5757B">
        <w:rPr>
          <w:rFonts w:asciiTheme="majorHAnsi" w:eastAsia="Arial Narrow" w:hAnsiTheme="majorHAnsi" w:cstheme="majorHAnsi"/>
          <w:sz w:val="24"/>
          <w:szCs w:val="24"/>
        </w:rPr>
        <w:t>Tech</w:t>
      </w:r>
      <w:proofErr w:type="spellEnd"/>
      <w:r w:rsidRPr="00E5757B">
        <w:rPr>
          <w:rFonts w:asciiTheme="majorHAnsi" w:eastAsia="Arial Narrow" w:hAnsiTheme="majorHAnsi" w:cstheme="majorHAnsi"/>
          <w:sz w:val="24"/>
          <w:szCs w:val="24"/>
        </w:rPr>
        <w:t xml:space="preserve"> Crime </w:t>
      </w:r>
      <w:proofErr w:type="spellStart"/>
      <w:r w:rsidRPr="00E5757B">
        <w:rPr>
          <w:rFonts w:asciiTheme="majorHAnsi" w:eastAsia="Arial Narrow" w:hAnsiTheme="majorHAnsi" w:cstheme="majorHAnsi"/>
          <w:sz w:val="24"/>
          <w:szCs w:val="24"/>
        </w:rPr>
        <w:t>Network</w:t>
      </w:r>
      <w:proofErr w:type="spellEnd"/>
      <w:r w:rsidRPr="00E5757B">
        <w:rPr>
          <w:rFonts w:asciiTheme="majorHAnsi" w:eastAsia="Arial Narrow" w:hAnsiTheme="majorHAnsi" w:cstheme="majorHAnsi"/>
          <w:sz w:val="24"/>
          <w:szCs w:val="24"/>
        </w:rPr>
        <w:t xml:space="preserve">. </w:t>
      </w:r>
    </w:p>
    <w:p w14:paraId="3FA3BD9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b/>
          <w:sz w:val="24"/>
          <w:szCs w:val="24"/>
        </w:rPr>
        <w:lastRenderedPageBreak/>
        <w:t xml:space="preserve">Utilizarea </w:t>
      </w:r>
      <w:proofErr w:type="spellStart"/>
      <w:r w:rsidRPr="00E5757B">
        <w:rPr>
          <w:rFonts w:asciiTheme="majorHAnsi" w:eastAsia="Arial Narrow" w:hAnsiTheme="majorHAnsi" w:cstheme="majorHAnsi"/>
          <w:b/>
          <w:sz w:val="24"/>
          <w:szCs w:val="24"/>
        </w:rPr>
        <w:t>cryptomonedelor</w:t>
      </w:r>
      <w:proofErr w:type="spellEnd"/>
      <w:r w:rsidRPr="00E5757B">
        <w:rPr>
          <w:rFonts w:asciiTheme="majorHAnsi" w:eastAsia="Arial Narrow" w:hAnsiTheme="majorHAnsi" w:cstheme="majorHAnsi"/>
          <w:b/>
          <w:sz w:val="24"/>
          <w:szCs w:val="24"/>
        </w:rPr>
        <w:t>,</w:t>
      </w:r>
      <w:r w:rsidRPr="00E5757B">
        <w:rPr>
          <w:rFonts w:asciiTheme="majorHAnsi" w:eastAsia="Arial Narrow" w:hAnsiTheme="majorHAnsi" w:cstheme="majorHAnsi"/>
          <w:sz w:val="24"/>
          <w:szCs w:val="24"/>
        </w:rPr>
        <w:t xml:space="preserve"> ca metodă de spălare a sumelor de bani provenite din activități din sfera criminalității informatice rămâne în continuare o provocare pentru structurile de aplicare a legii, pe fondul utilizării din ce în ce mai mult a acestui mod de plată. </w:t>
      </w:r>
    </w:p>
    <w:p w14:paraId="07ADB249"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Pandemia COVID 19 are impact și asupra operațiunilor </w:t>
      </w:r>
      <w:proofErr w:type="spellStart"/>
      <w:r w:rsidRPr="00E5757B">
        <w:rPr>
          <w:rFonts w:asciiTheme="majorHAnsi" w:eastAsia="Arial Narrow" w:hAnsiTheme="majorHAnsi" w:cstheme="majorHAnsi"/>
          <w:b/>
          <w:sz w:val="24"/>
          <w:szCs w:val="24"/>
        </w:rPr>
        <w:t>Darkweb</w:t>
      </w:r>
      <w:proofErr w:type="spellEnd"/>
      <w:r w:rsidRPr="00E5757B">
        <w:rPr>
          <w:rFonts w:asciiTheme="majorHAnsi" w:eastAsia="Arial Narrow" w:hAnsiTheme="majorHAnsi" w:cstheme="majorHAnsi"/>
          <w:sz w:val="24"/>
          <w:szCs w:val="24"/>
        </w:rPr>
        <w:t xml:space="preserve">. Anumite bunuri ilicite vor deveni mai scumpe, deoarece piețele sursă devin indisponibile, iar vânzătorii activi pe </w:t>
      </w:r>
      <w:proofErr w:type="spellStart"/>
      <w:r w:rsidRPr="00E5757B">
        <w:rPr>
          <w:rFonts w:asciiTheme="majorHAnsi" w:eastAsia="Arial Narrow" w:hAnsiTheme="majorHAnsi" w:cstheme="majorHAnsi"/>
          <w:sz w:val="24"/>
          <w:szCs w:val="24"/>
        </w:rPr>
        <w:t>Darkweb</w:t>
      </w:r>
      <w:proofErr w:type="spellEnd"/>
      <w:r w:rsidRPr="00E5757B">
        <w:rPr>
          <w:rFonts w:asciiTheme="majorHAnsi" w:eastAsia="Arial Narrow" w:hAnsiTheme="majorHAnsi" w:cstheme="majorHAnsi"/>
          <w:sz w:val="24"/>
          <w:szCs w:val="24"/>
        </w:rPr>
        <w:t xml:space="preserve"> oferă aceste produse speciale pentru COVID19 la reduceri.</w:t>
      </w:r>
    </w:p>
    <w:p w14:paraId="2D9D5F3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Astfel, Programul Național FSI al României va finanța următoarele măsuri de implementare: </w:t>
      </w:r>
    </w:p>
    <w:p w14:paraId="095B2391"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1.</w:t>
      </w:r>
      <w:r w:rsidRPr="00E5757B">
        <w:rPr>
          <w:rFonts w:asciiTheme="majorHAnsi" w:eastAsia="Arial Narrow" w:hAnsiTheme="majorHAnsi" w:cstheme="majorHAnsi"/>
          <w:sz w:val="24"/>
          <w:szCs w:val="24"/>
        </w:rPr>
        <w:tab/>
        <w:t>asigurarea aplicării uniforme a acquis-ului Uniunii în domeniul securității prin sprijinirea schimbului de informații;</w:t>
      </w:r>
    </w:p>
    <w:p w14:paraId="08702FF2"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2.</w:t>
      </w:r>
      <w:r w:rsidRPr="00E5757B">
        <w:rPr>
          <w:rFonts w:asciiTheme="majorHAnsi" w:eastAsia="Arial Narrow" w:hAnsiTheme="majorHAnsi" w:cstheme="majorHAnsi"/>
          <w:sz w:val="24"/>
          <w:szCs w:val="24"/>
        </w:rPr>
        <w:tab/>
        <w:t xml:space="preserve">instituirea, adaptarea și menținerea unor sisteme și rețele TIC la nivel național și la nivelul Uniunii, relevante pentru securitate, inclusiv asigurarea interoperabilității acestora, și elaborarea unor instrumente adecvate pentru remedierea lacunelor identificate; </w:t>
      </w:r>
    </w:p>
    <w:p w14:paraId="52EC0837"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3.</w:t>
      </w:r>
      <w:r w:rsidRPr="00E5757B">
        <w:rPr>
          <w:rFonts w:asciiTheme="majorHAnsi" w:eastAsia="Arial Narrow" w:hAnsiTheme="majorHAnsi" w:cstheme="majorHAnsi"/>
          <w:sz w:val="24"/>
          <w:szCs w:val="24"/>
        </w:rPr>
        <w:tab/>
        <w:t xml:space="preserve">sporirea utilizării active a instrumentelor, a sistemelor și a bazelor de date de la nivelul Uniunii și de la nivel național care susțin schimbul de informații relevante pentru securitate, asigurându-se alimentarea acestora cu date de înaltă calitate; </w:t>
      </w:r>
    </w:p>
    <w:p w14:paraId="440413C0"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4.</w:t>
      </w:r>
      <w:r w:rsidRPr="00E5757B">
        <w:rPr>
          <w:rFonts w:asciiTheme="majorHAnsi" w:eastAsia="Arial Narrow" w:hAnsiTheme="majorHAnsi" w:cstheme="majorHAnsi"/>
          <w:sz w:val="24"/>
          <w:szCs w:val="24"/>
        </w:rPr>
        <w:tab/>
        <w:t>sprijinirea măsurilor de la nivel național și de la nivelul Uniunii care sunt relevante pentru punerea în aplicare a obiectivelor specifice prevăzute la articolul 3 alineatul (2) litera (a) din Regulament</w:t>
      </w:r>
    </w:p>
    <w:p w14:paraId="6B768A8F"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Acțiunile avute în vedere în cadrul PN FSI sunt, în principal, următoarele:</w:t>
      </w:r>
    </w:p>
    <w:p w14:paraId="3DAE79AC"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sisteme și rețele TIC care contribuie la realizarea obiectivelor prezentului regulament, formarea cu privire la utilizarea acestor sisteme, testarea și îmbunătățirea interoperabilității și a calității datelor acestor sisteme;</w:t>
      </w:r>
    </w:p>
    <w:p w14:paraId="697EA0B6"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w:t>
      </w:r>
      <w:r w:rsidRPr="00E5757B">
        <w:rPr>
          <w:rFonts w:asciiTheme="majorHAnsi" w:eastAsia="Arial" w:hAnsiTheme="majorHAnsi" w:cstheme="majorHAnsi"/>
          <w:sz w:val="24"/>
          <w:szCs w:val="24"/>
        </w:rPr>
        <w:tab/>
        <w:t xml:space="preserve">monitorizarea punerii în aplicare, în statele membre, a legislației Uniunii și a obiectivelor strategice ale Uniunii în domeniul sistemelor de informații privind securitatea; </w:t>
      </w:r>
    </w:p>
    <w:p w14:paraId="39E84F2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sprijin pentru crearea de rețele tematice sau transversale ale unităților naționale specializate în vederea îmbunătățirii încrederii reciproce, a schimbului și a diseminării de competențe și cunoștințe, de informații, de experiență și de bune practici, precum și a punerii în comun a resurselor și a expertizei în cadrul unor centre de excelență comune;</w:t>
      </w:r>
    </w:p>
    <w:p w14:paraId="2031F16D"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 xml:space="preserve">educația și formarea personalului și a experților din cadrul autorităților de aplicare a legii, al autorităților judiciare și al agențiilor administrative relevante, ținând seama de nevoile operaționale și de analizele riscurilor; </w:t>
      </w:r>
    </w:p>
    <w:p w14:paraId="37079D0B"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 xml:space="preserve">cooperarea cu sectorul privat cu scopul de a consolida încrederea și a îmbunătăți coordonarea, planificarea de contingență, precum și schimbul și diseminarea de informații și bune practici între actorii din sectorul public și privat, inclusiv în ceea ce privește protecția spațiilor publice și a infrastructurii critice; </w:t>
      </w:r>
    </w:p>
    <w:p w14:paraId="3A207C8C"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 xml:space="preserve">acțiuni care permit comunităților să elaboreze abordări și politici de prevenire locale, precum și acțiuni de sensibilizare și comunicare, în rândul părților interesate și al publicului larg, cu privire la politicile de securitate ale Uniunii; </w:t>
      </w:r>
    </w:p>
    <w:p w14:paraId="0B56E0A1"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w:t>
      </w:r>
      <w:r w:rsidRPr="00E5757B">
        <w:rPr>
          <w:rFonts w:asciiTheme="majorHAnsi" w:eastAsia="Arial Narrow" w:hAnsiTheme="majorHAnsi" w:cstheme="majorHAnsi"/>
          <w:sz w:val="24"/>
          <w:szCs w:val="24"/>
        </w:rPr>
        <w:tab/>
        <w:t xml:space="preserve">echipamente, mijloace de transport, sisteme de comunicații și facilități [...] relevante pentru securitate; </w:t>
      </w:r>
    </w:p>
    <w:p w14:paraId="1EF424D5"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w:hAnsiTheme="majorHAnsi" w:cstheme="majorHAnsi"/>
          <w:sz w:val="24"/>
          <w:szCs w:val="24"/>
        </w:rPr>
        <w:t xml:space="preserve">SPRIJIN OPERAȚIONAL: În temeiul art. 15 România va solicita sprijin  operațional pentru întreținerea și asigurarea asistentei tehnice a sistemelor și rețelelor TIC de la nivelul Uniunii și de la nivel național, care contribuie la realizarea obiectivelor Regulamentului. </w:t>
      </w:r>
    </w:p>
    <w:p w14:paraId="1735B687"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Beneficiari: </w:t>
      </w:r>
    </w:p>
    <w:p w14:paraId="02A826E6"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lastRenderedPageBreak/>
        <w:t xml:space="preserve">Poliția Română care, în conformitate cu Legea nr. 218/2002, republicată, este instituția specializată a statului, care exercită atribuții privind apărarea drepturilor și libertăților fundamentale ale persoanei, a proprietății private și publice, prevenirea și descoperirea infracțiunilor (....). </w:t>
      </w:r>
    </w:p>
    <w:p w14:paraId="07E8EE78" w14:textId="77777777" w:rsidR="00E5757B" w:rsidRPr="00E5757B" w:rsidRDefault="00E5757B" w:rsidP="00C34469">
      <w:pPr>
        <w:spacing w:after="120" w:line="240" w:lineRule="auto"/>
        <w:jc w:val="both"/>
        <w:rPr>
          <w:rFonts w:asciiTheme="majorHAnsi" w:eastAsia="Arial Narrow" w:hAnsiTheme="majorHAnsi" w:cstheme="majorHAnsi"/>
          <w:sz w:val="24"/>
          <w:szCs w:val="24"/>
        </w:rPr>
      </w:pPr>
      <w:r w:rsidRPr="00E5757B">
        <w:rPr>
          <w:rFonts w:asciiTheme="majorHAnsi" w:eastAsia="Arial Narrow" w:hAnsiTheme="majorHAnsi" w:cstheme="majorHAnsi"/>
          <w:sz w:val="24"/>
          <w:szCs w:val="24"/>
        </w:rPr>
        <w:t xml:space="preserve">Poliția de Frontieră Română care este instituția  în cadrul </w:t>
      </w:r>
      <w:proofErr w:type="spellStart"/>
      <w:r w:rsidRPr="00E5757B">
        <w:rPr>
          <w:rFonts w:asciiTheme="majorHAnsi" w:eastAsia="Arial Narrow" w:hAnsiTheme="majorHAnsi" w:cstheme="majorHAnsi"/>
          <w:sz w:val="24"/>
          <w:szCs w:val="24"/>
        </w:rPr>
        <w:t>careia</w:t>
      </w:r>
      <w:proofErr w:type="spellEnd"/>
      <w:r w:rsidRPr="00E5757B">
        <w:rPr>
          <w:rFonts w:asciiTheme="majorHAnsi" w:eastAsia="Arial Narrow" w:hAnsiTheme="majorHAnsi" w:cstheme="majorHAnsi"/>
          <w:sz w:val="24"/>
          <w:szCs w:val="24"/>
        </w:rPr>
        <w:t xml:space="preserve">, în baza Legii nr 284/2018 de transpunere a Directivei 681/2016, funcționează Unitatea Națională de Informații privind Pasagerii. </w:t>
      </w:r>
    </w:p>
    <w:p w14:paraId="335D243A" w14:textId="77777777" w:rsidR="00C24F05" w:rsidRDefault="00C24F05" w:rsidP="00C34469">
      <w:pPr>
        <w:pStyle w:val="Heading2"/>
        <w:keepNext w:val="0"/>
        <w:keepLines w:val="0"/>
        <w:spacing w:after="120" w:line="240" w:lineRule="auto"/>
        <w:ind w:left="10"/>
        <w:rPr>
          <w:rFonts w:asciiTheme="majorHAnsi" w:eastAsia="Arial Narrow" w:hAnsiTheme="majorHAnsi" w:cstheme="majorHAnsi"/>
          <w:i/>
        </w:rPr>
      </w:pPr>
    </w:p>
    <w:p w14:paraId="349DAEAA" w14:textId="0508882F" w:rsidR="008D5733" w:rsidRPr="001A230B" w:rsidRDefault="00AD2CCB" w:rsidP="00C34469">
      <w:pPr>
        <w:pStyle w:val="Heading2"/>
        <w:keepNext w:val="0"/>
        <w:keepLines w:val="0"/>
        <w:spacing w:after="120" w:line="240" w:lineRule="auto"/>
        <w:ind w:left="10"/>
        <w:rPr>
          <w:rFonts w:asciiTheme="majorHAnsi" w:hAnsiTheme="majorHAnsi" w:cstheme="majorHAnsi"/>
          <w:iCs/>
        </w:rPr>
      </w:pPr>
      <w:r w:rsidRPr="001A230B">
        <w:rPr>
          <w:rFonts w:asciiTheme="majorHAnsi" w:eastAsia="Arial Narrow" w:hAnsiTheme="majorHAnsi" w:cstheme="majorHAnsi"/>
          <w:iCs/>
          <w:highlight w:val="yellow"/>
        </w:rPr>
        <w:t xml:space="preserve">2.2. </w:t>
      </w:r>
      <w:proofErr w:type="spellStart"/>
      <w:r w:rsidRPr="001A230B">
        <w:rPr>
          <w:rFonts w:asciiTheme="majorHAnsi" w:eastAsia="Arial Narrow" w:hAnsiTheme="majorHAnsi" w:cstheme="majorHAnsi"/>
          <w:iCs/>
          <w:highlight w:val="yellow"/>
        </w:rPr>
        <w:t>Title</w:t>
      </w:r>
      <w:proofErr w:type="spellEnd"/>
      <w:r w:rsidRPr="001A230B">
        <w:rPr>
          <w:rFonts w:asciiTheme="majorHAnsi" w:eastAsia="Arial Narrow" w:hAnsiTheme="majorHAnsi" w:cstheme="majorHAnsi"/>
          <w:iCs/>
          <w:highlight w:val="yellow"/>
        </w:rPr>
        <w:t xml:space="preserve"> of the specific </w:t>
      </w:r>
      <w:proofErr w:type="spellStart"/>
      <w:r w:rsidRPr="001A230B">
        <w:rPr>
          <w:rFonts w:asciiTheme="majorHAnsi" w:eastAsia="Arial Narrow" w:hAnsiTheme="majorHAnsi" w:cstheme="majorHAnsi"/>
          <w:iCs/>
          <w:highlight w:val="yellow"/>
        </w:rPr>
        <w:t>objective</w:t>
      </w:r>
      <w:proofErr w:type="spellEnd"/>
      <w:r w:rsidRPr="001A230B">
        <w:rPr>
          <w:rFonts w:asciiTheme="majorHAnsi" w:eastAsia="Arial Narrow" w:hAnsiTheme="majorHAnsi" w:cstheme="majorHAnsi"/>
          <w:iCs/>
          <w:highlight w:val="yellow"/>
        </w:rPr>
        <w:t xml:space="preserve"> [300]</w:t>
      </w:r>
      <w:r w:rsidR="00C24F05" w:rsidRPr="001A230B">
        <w:rPr>
          <w:rFonts w:asciiTheme="majorHAnsi" w:eastAsia="Arial Narrow" w:hAnsiTheme="majorHAnsi" w:cstheme="majorHAnsi"/>
          <w:iCs/>
          <w:highlight w:val="yellow"/>
        </w:rPr>
        <w:t xml:space="preserve"> </w:t>
      </w:r>
      <w:r w:rsidRPr="001A230B">
        <w:rPr>
          <w:rFonts w:asciiTheme="majorHAnsi" w:hAnsiTheme="majorHAnsi" w:cstheme="majorHAnsi"/>
          <w:iCs/>
          <w:highlight w:val="yellow"/>
        </w:rPr>
        <w:t>Intensificarea operațiunilor comune transfrontaliere dintre și în cadrul autorităților de aplicare a legii și al altor autorități competente în ceea ce privește toate formele de criminalitate, în special terorismul și criminalitatea gravă și organizată cu o dimensiune transfrontalieră</w:t>
      </w:r>
    </w:p>
    <w:p w14:paraId="3312CB9D" w14:textId="1D719598" w:rsidR="00C24F05" w:rsidRDefault="00C24F05" w:rsidP="00C34469">
      <w:pPr>
        <w:spacing w:after="120" w:line="240" w:lineRule="auto"/>
      </w:pPr>
    </w:p>
    <w:p w14:paraId="60D41C22" w14:textId="30B6DC2B" w:rsidR="00E5757B" w:rsidRPr="00E5757B" w:rsidRDefault="00E5757B" w:rsidP="00C34469">
      <w:pPr>
        <w:spacing w:after="120" w:line="240" w:lineRule="auto"/>
        <w:ind w:left="360"/>
        <w:rPr>
          <w:rFonts w:asciiTheme="majorHAnsi" w:hAnsiTheme="majorHAnsi" w:cstheme="majorHAnsi"/>
          <w:b/>
          <w:sz w:val="24"/>
          <w:szCs w:val="24"/>
        </w:rPr>
      </w:pPr>
      <w:r w:rsidRPr="00E5757B">
        <w:rPr>
          <w:rFonts w:asciiTheme="majorHAnsi" w:hAnsiTheme="majorHAnsi" w:cstheme="majorHAnsi"/>
          <w:b/>
          <w:sz w:val="24"/>
          <w:szCs w:val="24"/>
        </w:rPr>
        <w:t>2.</w:t>
      </w:r>
      <w:r>
        <w:rPr>
          <w:rFonts w:asciiTheme="majorHAnsi" w:hAnsiTheme="majorHAnsi" w:cstheme="majorHAnsi"/>
          <w:b/>
          <w:sz w:val="24"/>
          <w:szCs w:val="24"/>
        </w:rPr>
        <w:t>2</w:t>
      </w:r>
      <w:r w:rsidRPr="00E5757B">
        <w:rPr>
          <w:rFonts w:asciiTheme="majorHAnsi" w:hAnsiTheme="majorHAnsi" w:cstheme="majorHAnsi"/>
          <w:b/>
          <w:sz w:val="24"/>
          <w:szCs w:val="24"/>
        </w:rPr>
        <w:t xml:space="preserve">.1. </w:t>
      </w:r>
      <w:proofErr w:type="spellStart"/>
      <w:r w:rsidRPr="00E5757B">
        <w:rPr>
          <w:rFonts w:asciiTheme="majorHAnsi" w:hAnsiTheme="majorHAnsi" w:cstheme="majorHAnsi"/>
          <w:b/>
          <w:sz w:val="24"/>
          <w:szCs w:val="24"/>
        </w:rPr>
        <w:t>Description</w:t>
      </w:r>
      <w:proofErr w:type="spellEnd"/>
      <w:r w:rsidRPr="00E5757B">
        <w:rPr>
          <w:rFonts w:asciiTheme="majorHAnsi" w:hAnsiTheme="majorHAnsi" w:cstheme="majorHAnsi"/>
          <w:b/>
          <w:sz w:val="24"/>
          <w:szCs w:val="24"/>
        </w:rPr>
        <w:t xml:space="preserve"> of a specific </w:t>
      </w:r>
      <w:proofErr w:type="spellStart"/>
      <w:r w:rsidRPr="00E5757B">
        <w:rPr>
          <w:rFonts w:asciiTheme="majorHAnsi" w:hAnsiTheme="majorHAnsi" w:cstheme="majorHAnsi"/>
          <w:b/>
          <w:sz w:val="24"/>
          <w:szCs w:val="24"/>
        </w:rPr>
        <w:t>objective</w:t>
      </w:r>
      <w:proofErr w:type="spellEnd"/>
      <w:r w:rsidRPr="00E5757B">
        <w:rPr>
          <w:rFonts w:asciiTheme="majorHAnsi" w:hAnsiTheme="majorHAnsi" w:cstheme="majorHAnsi"/>
          <w:b/>
          <w:sz w:val="24"/>
          <w:szCs w:val="24"/>
        </w:rPr>
        <w:t xml:space="preserve"> </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5757B" w:rsidRPr="004C0798" w14:paraId="2588B12C" w14:textId="77777777" w:rsidTr="00280487">
        <w:tc>
          <w:tcPr>
            <w:tcW w:w="9628" w:type="dxa"/>
          </w:tcPr>
          <w:p w14:paraId="44483917" w14:textId="77777777" w:rsidR="00E5757B" w:rsidRPr="004C0798" w:rsidRDefault="00E5757B" w:rsidP="00C34469">
            <w:pPr>
              <w:spacing w:after="120"/>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for </w:t>
            </w:r>
            <w:proofErr w:type="spellStart"/>
            <w:r w:rsidRPr="004C0798">
              <w:rPr>
                <w:rFonts w:asciiTheme="majorHAnsi" w:hAnsiTheme="majorHAnsi" w:cstheme="majorHAnsi"/>
                <w:i/>
                <w:color w:val="808080" w:themeColor="background1" w:themeShade="80"/>
              </w:rPr>
              <w:t>each</w:t>
            </w:r>
            <w:proofErr w:type="spellEnd"/>
            <w:r w:rsidRPr="004C0798">
              <w:rPr>
                <w:rFonts w:asciiTheme="majorHAnsi" w:hAnsiTheme="majorHAnsi" w:cstheme="majorHAnsi"/>
                <w:i/>
                <w:color w:val="808080" w:themeColor="background1" w:themeShade="80"/>
              </w:rPr>
              <w:t xml:space="preserve"> specific </w:t>
            </w:r>
            <w:proofErr w:type="spellStart"/>
            <w:r w:rsidRPr="004C0798">
              <w:rPr>
                <w:rFonts w:asciiTheme="majorHAnsi" w:hAnsiTheme="majorHAnsi" w:cstheme="majorHAnsi"/>
                <w:i/>
                <w:color w:val="808080" w:themeColor="background1" w:themeShade="80"/>
              </w:rPr>
              <w:t>objective</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initial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situation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proposes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by</w:t>
            </w:r>
            <w:proofErr w:type="spellEnd"/>
            <w:r w:rsidRPr="004C0798">
              <w:rPr>
                <w:rFonts w:asciiTheme="majorHAnsi" w:hAnsiTheme="majorHAnsi" w:cstheme="majorHAnsi"/>
                <w:i/>
                <w:color w:val="808080" w:themeColor="background1" w:themeShade="80"/>
              </w:rPr>
              <w:t xml:space="preserve"> the Fund. It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which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measures</w:t>
            </w:r>
            <w:proofErr w:type="spellEnd"/>
            <w:r w:rsidRPr="004C0798">
              <w:rPr>
                <w:rFonts w:asciiTheme="majorHAnsi" w:hAnsiTheme="majorHAnsi" w:cstheme="majorHAnsi"/>
                <w:i/>
                <w:color w:val="808080" w:themeColor="background1" w:themeShade="80"/>
              </w:rPr>
              <w:t xml:space="preserve"> are </w:t>
            </w:r>
            <w:proofErr w:type="spellStart"/>
            <w:r w:rsidRPr="004C0798">
              <w:rPr>
                <w:rFonts w:asciiTheme="majorHAnsi" w:hAnsiTheme="majorHAnsi" w:cstheme="majorHAnsi"/>
                <w:i/>
                <w:color w:val="808080" w:themeColor="background1" w:themeShade="80"/>
              </w:rPr>
              <w:t>addressed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of the Fund;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actions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within</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scope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3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4 of the AMIF, ISF or BMVI </w:t>
            </w:r>
            <w:proofErr w:type="spellStart"/>
            <w:r w:rsidRPr="004C0798">
              <w:rPr>
                <w:rFonts w:asciiTheme="majorHAnsi" w:hAnsiTheme="majorHAnsi" w:cstheme="majorHAnsi"/>
                <w:i/>
                <w:color w:val="808080" w:themeColor="background1" w:themeShade="80"/>
              </w:rPr>
              <w:t>Regulations</w:t>
            </w:r>
            <w:proofErr w:type="spellEnd"/>
            <w:r w:rsidRPr="004C0798">
              <w:rPr>
                <w:rFonts w:asciiTheme="majorHAnsi" w:hAnsiTheme="majorHAnsi" w:cstheme="majorHAnsi"/>
                <w:i/>
                <w:color w:val="808080" w:themeColor="background1" w:themeShade="80"/>
              </w:rPr>
              <w:t>.</w:t>
            </w:r>
          </w:p>
          <w:p w14:paraId="21C3010C" w14:textId="77777777" w:rsidR="00E5757B" w:rsidRPr="004C0798" w:rsidRDefault="00E5757B" w:rsidP="00C34469">
            <w:pPr>
              <w:spacing w:after="120"/>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In particular: For </w:t>
            </w:r>
            <w:proofErr w:type="spellStart"/>
            <w:r w:rsidRPr="004C0798">
              <w:rPr>
                <w:rFonts w:asciiTheme="majorHAnsi" w:hAnsiTheme="majorHAnsi" w:cstheme="majorHAnsi"/>
                <w:i/>
                <w:color w:val="808080" w:themeColor="background1" w:themeShade="80"/>
              </w:rPr>
              <w:t>operating</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 </w:t>
            </w:r>
            <w:proofErr w:type="spellStart"/>
            <w:r w:rsidRPr="004C0798">
              <w:rPr>
                <w:rFonts w:asciiTheme="majorHAnsi" w:hAnsiTheme="majorHAnsi" w:cstheme="majorHAnsi"/>
                <w:i/>
                <w:color w:val="808080" w:themeColor="background1" w:themeShade="80"/>
              </w:rPr>
              <w:t>justification</w:t>
            </w:r>
            <w:proofErr w:type="spellEnd"/>
            <w:r w:rsidRPr="004C0798">
              <w:rPr>
                <w:rFonts w:asciiTheme="majorHAnsi" w:hAnsiTheme="majorHAnsi" w:cstheme="majorHAnsi"/>
                <w:i/>
                <w:color w:val="808080" w:themeColor="background1" w:themeShade="80"/>
              </w:rPr>
              <w:t xml:space="preserve"> in line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w:t>
            </w:r>
            <w:proofErr w:type="spellEnd"/>
            <w:r w:rsidRPr="004C0798">
              <w:rPr>
                <w:rFonts w:asciiTheme="majorHAnsi" w:hAnsiTheme="majorHAnsi" w:cstheme="majorHAnsi"/>
                <w:i/>
                <w:color w:val="808080" w:themeColor="background1" w:themeShade="80"/>
              </w:rPr>
              <w:t xml:space="preserve"> 15</w:t>
            </w:r>
            <w:r w:rsidRPr="004C0798">
              <w:rPr>
                <w:rFonts w:asciiTheme="majorHAnsi" w:hAnsiTheme="majorHAnsi" w:cstheme="majorHAnsi"/>
                <w:i/>
                <w:color w:val="808080" w:themeColor="background1" w:themeShade="80"/>
                <w:vertAlign w:val="superscript"/>
              </w:rPr>
              <w:footnoteReference w:id="4"/>
            </w:r>
            <w:r w:rsidRPr="004C0798">
              <w:rPr>
                <w:rFonts w:asciiTheme="majorHAnsi" w:hAnsiTheme="majorHAnsi" w:cstheme="majorHAnsi"/>
                <w:i/>
                <w:color w:val="808080" w:themeColor="background1" w:themeShade="80"/>
              </w:rPr>
              <w:t xml:space="preserve">of the ISF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15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16 of the BMVI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or </w:t>
            </w:r>
            <w:proofErr w:type="spellStart"/>
            <w:r w:rsidRPr="004C0798">
              <w:rPr>
                <w:rFonts w:asciiTheme="majorHAnsi" w:hAnsiTheme="majorHAnsi" w:cstheme="majorHAnsi"/>
                <w:i/>
                <w:color w:val="808080" w:themeColor="background1" w:themeShade="80"/>
              </w:rPr>
              <w:t>Artic</w:t>
            </w:r>
            <w:proofErr w:type="spellEnd"/>
            <w:r w:rsidRPr="004C0798">
              <w:rPr>
                <w:rFonts w:asciiTheme="majorHAnsi" w:hAnsiTheme="majorHAnsi" w:cstheme="majorHAnsi"/>
                <w:i/>
                <w:color w:val="808080" w:themeColor="background1" w:themeShade="80"/>
              </w:rPr>
              <w:t xml:space="preserve">-le 18 of the AMIF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includes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beneficiaries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statutory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responsibilities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tasks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to</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
          <w:p w14:paraId="510BED18" w14:textId="77777777" w:rsidR="00E5757B" w:rsidRPr="004C0798" w:rsidRDefault="00E5757B" w:rsidP="00C34469">
            <w:pPr>
              <w:spacing w:after="120"/>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Planned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use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financial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instruments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if</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applicable</w:t>
            </w:r>
            <w:proofErr w:type="spellEnd"/>
            <w:r w:rsidRPr="004C0798">
              <w:rPr>
                <w:rFonts w:asciiTheme="majorHAnsi" w:hAnsiTheme="majorHAnsi" w:cstheme="majorHAnsi"/>
                <w:i/>
                <w:color w:val="808080" w:themeColor="background1" w:themeShade="80"/>
              </w:rPr>
              <w:t>.</w:t>
            </w:r>
          </w:p>
          <w:p w14:paraId="51939359" w14:textId="77777777" w:rsidR="00E5757B" w:rsidRPr="004C0798" w:rsidRDefault="00E5757B" w:rsidP="00C34469">
            <w:pPr>
              <w:spacing w:after="120"/>
              <w:rPr>
                <w:rFonts w:asciiTheme="majorHAnsi" w:hAnsiTheme="majorHAnsi" w:cstheme="majorHAnsi"/>
              </w:rPr>
            </w:pPr>
            <w:r w:rsidRPr="004C0798">
              <w:rPr>
                <w:rFonts w:asciiTheme="majorHAnsi" w:hAnsiTheme="majorHAnsi" w:cstheme="majorHAnsi"/>
                <w:i/>
                <w:color w:val="808080" w:themeColor="background1" w:themeShade="80"/>
              </w:rPr>
              <w:t xml:space="preserve">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(16 000 </w:t>
            </w:r>
            <w:proofErr w:type="spellStart"/>
            <w:r w:rsidRPr="004C0798">
              <w:rPr>
                <w:rFonts w:asciiTheme="majorHAnsi" w:hAnsiTheme="majorHAnsi" w:cstheme="majorHAnsi"/>
                <w:i/>
                <w:color w:val="808080" w:themeColor="background1" w:themeShade="80"/>
              </w:rPr>
              <w:t>characters</w:t>
            </w:r>
            <w:proofErr w:type="spellEnd"/>
            <w:r w:rsidRPr="004C0798">
              <w:rPr>
                <w:rFonts w:asciiTheme="majorHAnsi" w:hAnsiTheme="majorHAnsi" w:cstheme="majorHAnsi"/>
                <w:i/>
                <w:color w:val="808080" w:themeColor="background1" w:themeShade="80"/>
              </w:rPr>
              <w:t>)</w:t>
            </w:r>
          </w:p>
        </w:tc>
      </w:tr>
    </w:tbl>
    <w:p w14:paraId="0801B7C9" w14:textId="77777777" w:rsidR="00E5757B" w:rsidRDefault="00E5757B" w:rsidP="00C34469">
      <w:pPr>
        <w:spacing w:after="120" w:line="240" w:lineRule="auto"/>
        <w:jc w:val="both"/>
        <w:rPr>
          <w:rFonts w:asciiTheme="majorHAnsi" w:eastAsia="Arial Narrow" w:hAnsiTheme="majorHAnsi" w:cstheme="majorHAnsi"/>
          <w:sz w:val="24"/>
          <w:szCs w:val="24"/>
        </w:rPr>
      </w:pPr>
    </w:p>
    <w:p w14:paraId="1E2570ED"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Poliția Română este un membru activ în cadrul EUROPOL, participând în cadrul parteneriatului şi cooperării internaționale între autoritățile române, Comisia Europeană şi </w:t>
      </w:r>
      <w:r w:rsidRPr="00AD2CCB">
        <w:rPr>
          <w:rFonts w:asciiTheme="majorHAnsi" w:eastAsia="Arial Narrow" w:hAnsiTheme="majorHAnsi" w:cstheme="majorHAnsi"/>
          <w:b/>
          <w:sz w:val="24"/>
          <w:szCs w:val="24"/>
        </w:rPr>
        <w:t>EUROPOL</w:t>
      </w:r>
      <w:r w:rsidRPr="00AD2CCB">
        <w:rPr>
          <w:rFonts w:asciiTheme="majorHAnsi" w:eastAsia="Arial Narrow" w:hAnsiTheme="majorHAnsi" w:cstheme="majorHAnsi"/>
          <w:sz w:val="24"/>
          <w:szCs w:val="24"/>
        </w:rPr>
        <w:t>, pe mai multe paliere circumscrise</w:t>
      </w:r>
      <w:r w:rsidRPr="00AD2CCB">
        <w:rPr>
          <w:rFonts w:asciiTheme="majorHAnsi" w:eastAsia="Arial Narrow" w:hAnsiTheme="majorHAnsi" w:cstheme="majorHAnsi"/>
          <w:b/>
          <w:sz w:val="24"/>
          <w:szCs w:val="24"/>
        </w:rPr>
        <w:t xml:space="preserve"> priorităților EMPACT,</w:t>
      </w:r>
      <w:r w:rsidRPr="00AD2CCB">
        <w:rPr>
          <w:rFonts w:asciiTheme="majorHAnsi" w:eastAsia="Arial Narrow" w:hAnsiTheme="majorHAnsi" w:cstheme="majorHAnsi"/>
          <w:sz w:val="24"/>
          <w:szCs w:val="24"/>
        </w:rPr>
        <w:t xml:space="preserve"> aceasta fiind și una dintre prioritățile stabilite pentru România prin fișa de țară, în cadrul Obiectivului Specific 2. </w:t>
      </w:r>
    </w:p>
    <w:p w14:paraId="1D6A0805"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Anual, Poliția Română derulează, în medie, 50 de </w:t>
      </w:r>
      <w:r w:rsidRPr="00AD2CCB">
        <w:rPr>
          <w:rFonts w:asciiTheme="majorHAnsi" w:eastAsia="Arial" w:hAnsiTheme="majorHAnsi" w:cstheme="majorHAnsi"/>
          <w:b/>
          <w:sz w:val="24"/>
          <w:szCs w:val="24"/>
        </w:rPr>
        <w:t>operațiuni comune transfrontaliere,</w:t>
      </w:r>
      <w:r w:rsidRPr="00AD2CCB">
        <w:rPr>
          <w:rFonts w:asciiTheme="majorHAnsi" w:eastAsia="Arial Narrow" w:hAnsiTheme="majorHAnsi" w:cstheme="majorHAnsi"/>
          <w:sz w:val="24"/>
          <w:szCs w:val="24"/>
        </w:rPr>
        <w:t xml:space="preserve"> cele mai multe dintre acestea vizând combaterea traficului de persoane, dar și a criminalității informatice, traficului de droguri sau combaterea spălării banilor. Doar în domeniul combaterii traficului de droguri, în perioada 2014-2020 au fost efectuate peste 200 de livrări supravegheate.  </w:t>
      </w:r>
    </w:p>
    <w:p w14:paraId="07C26C14"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În cadrul Ciclului de Politici UE 2018-2022 România și-a asumat roluri de </w:t>
      </w:r>
      <w:r w:rsidRPr="00AD2CCB">
        <w:rPr>
          <w:rFonts w:asciiTheme="majorHAnsi" w:eastAsia="Arial Narrow" w:hAnsiTheme="majorHAnsi" w:cstheme="majorHAnsi"/>
          <w:b/>
          <w:sz w:val="24"/>
          <w:szCs w:val="24"/>
        </w:rPr>
        <w:t>Driver</w:t>
      </w:r>
      <w:r w:rsidRPr="00AD2CCB">
        <w:rPr>
          <w:rFonts w:asciiTheme="majorHAnsi" w:eastAsia="Arial Narrow" w:hAnsiTheme="majorHAnsi" w:cstheme="majorHAnsi"/>
          <w:sz w:val="24"/>
          <w:szCs w:val="24"/>
        </w:rPr>
        <w:t xml:space="preserve"> (</w:t>
      </w:r>
      <w:r w:rsidRPr="00AD2CCB">
        <w:rPr>
          <w:rFonts w:asciiTheme="majorHAnsi" w:eastAsia="Arial Narrow" w:hAnsiTheme="majorHAnsi" w:cstheme="majorHAnsi"/>
          <w:i/>
          <w:sz w:val="24"/>
          <w:szCs w:val="24"/>
        </w:rPr>
        <w:t xml:space="preserve">prioritatea </w:t>
      </w:r>
      <w:proofErr w:type="spellStart"/>
      <w:r w:rsidRPr="00AD2CCB">
        <w:rPr>
          <w:rFonts w:asciiTheme="majorHAnsi" w:eastAsia="Arial Narrow" w:hAnsiTheme="majorHAnsi" w:cstheme="majorHAnsi"/>
          <w:i/>
          <w:sz w:val="24"/>
          <w:szCs w:val="24"/>
        </w:rPr>
        <w:t>cybercrime</w:t>
      </w:r>
      <w:proofErr w:type="spellEnd"/>
      <w:r w:rsidRPr="00AD2CCB">
        <w:rPr>
          <w:rFonts w:asciiTheme="majorHAnsi" w:eastAsia="Arial Narrow" w:hAnsiTheme="majorHAnsi" w:cstheme="majorHAnsi"/>
          <w:i/>
          <w:sz w:val="24"/>
          <w:szCs w:val="24"/>
        </w:rPr>
        <w:t xml:space="preserve">, sub-prioritatea Non cash </w:t>
      </w:r>
      <w:proofErr w:type="spellStart"/>
      <w:r w:rsidRPr="00AD2CCB">
        <w:rPr>
          <w:rFonts w:asciiTheme="majorHAnsi" w:eastAsia="Arial Narrow" w:hAnsiTheme="majorHAnsi" w:cstheme="majorHAnsi"/>
          <w:i/>
          <w:sz w:val="24"/>
          <w:szCs w:val="24"/>
        </w:rPr>
        <w:t>Paymenty</w:t>
      </w:r>
      <w:proofErr w:type="spellEnd"/>
      <w:r w:rsidRPr="00AD2CCB">
        <w:rPr>
          <w:rFonts w:asciiTheme="majorHAnsi" w:eastAsia="Arial Narrow" w:hAnsiTheme="majorHAnsi" w:cstheme="majorHAnsi"/>
          <w:i/>
          <w:sz w:val="24"/>
          <w:szCs w:val="24"/>
        </w:rPr>
        <w:t xml:space="preserve"> </w:t>
      </w:r>
      <w:proofErr w:type="spellStart"/>
      <w:r w:rsidRPr="00AD2CCB">
        <w:rPr>
          <w:rFonts w:asciiTheme="majorHAnsi" w:eastAsia="Arial Narrow" w:hAnsiTheme="majorHAnsi" w:cstheme="majorHAnsi"/>
          <w:i/>
          <w:sz w:val="24"/>
          <w:szCs w:val="24"/>
        </w:rPr>
        <w:t>Fraud</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b/>
          <w:sz w:val="24"/>
          <w:szCs w:val="24"/>
        </w:rPr>
        <w:t>Codriver</w:t>
      </w:r>
      <w:proofErr w:type="spellEnd"/>
      <w:r w:rsidRPr="00AD2CCB">
        <w:rPr>
          <w:rFonts w:asciiTheme="majorHAnsi" w:eastAsia="Arial Narrow" w:hAnsiTheme="majorHAnsi" w:cstheme="majorHAnsi"/>
          <w:sz w:val="24"/>
          <w:szCs w:val="24"/>
        </w:rPr>
        <w:t xml:space="preserve"> (</w:t>
      </w:r>
      <w:r w:rsidRPr="00AD2CCB">
        <w:rPr>
          <w:rFonts w:asciiTheme="majorHAnsi" w:eastAsia="Arial" w:hAnsiTheme="majorHAnsi" w:cstheme="majorHAnsi"/>
          <w:i/>
          <w:sz w:val="24"/>
          <w:szCs w:val="24"/>
        </w:rPr>
        <w:t xml:space="preserve">prioritatea </w:t>
      </w:r>
      <w:proofErr w:type="spellStart"/>
      <w:r w:rsidRPr="00AD2CCB">
        <w:rPr>
          <w:rFonts w:asciiTheme="majorHAnsi" w:eastAsia="Arial" w:hAnsiTheme="majorHAnsi" w:cstheme="majorHAnsi"/>
          <w:i/>
          <w:sz w:val="24"/>
          <w:szCs w:val="24"/>
        </w:rPr>
        <w:t>Traffiking</w:t>
      </w:r>
      <w:proofErr w:type="spellEnd"/>
      <w:r w:rsidRPr="00AD2CCB">
        <w:rPr>
          <w:rFonts w:asciiTheme="majorHAnsi" w:eastAsia="Arial" w:hAnsiTheme="majorHAnsi" w:cstheme="majorHAnsi"/>
          <w:i/>
          <w:sz w:val="24"/>
          <w:szCs w:val="24"/>
        </w:rPr>
        <w:t xml:space="preserve"> in </w:t>
      </w:r>
      <w:proofErr w:type="spellStart"/>
      <w:r w:rsidRPr="00AD2CCB">
        <w:rPr>
          <w:rFonts w:asciiTheme="majorHAnsi" w:eastAsia="Arial" w:hAnsiTheme="majorHAnsi" w:cstheme="majorHAnsi"/>
          <w:i/>
          <w:sz w:val="24"/>
          <w:szCs w:val="24"/>
        </w:rPr>
        <w:t>Human</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Beings</w:t>
      </w:r>
      <w:proofErr w:type="spellEnd"/>
      <w:r w:rsidRPr="00AD2CCB">
        <w:rPr>
          <w:rFonts w:asciiTheme="majorHAnsi" w:eastAsia="Arial" w:hAnsiTheme="majorHAnsi" w:cstheme="majorHAnsi"/>
          <w:i/>
          <w:sz w:val="24"/>
          <w:szCs w:val="24"/>
        </w:rPr>
        <w:t xml:space="preserve"> și prioritatea </w:t>
      </w:r>
      <w:proofErr w:type="spellStart"/>
      <w:r w:rsidRPr="00AD2CCB">
        <w:rPr>
          <w:rFonts w:asciiTheme="majorHAnsi" w:eastAsia="Arial" w:hAnsiTheme="majorHAnsi" w:cstheme="majorHAnsi"/>
          <w:i/>
          <w:sz w:val="24"/>
          <w:szCs w:val="24"/>
        </w:rPr>
        <w:t>Cybercrime</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subprioritatea</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Empact</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Cyber</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attacks</w:t>
      </w:r>
      <w:proofErr w:type="spellEnd"/>
      <w:r w:rsidRPr="00AD2CCB">
        <w:rPr>
          <w:rFonts w:asciiTheme="majorHAnsi" w:eastAsia="Arial" w:hAnsiTheme="majorHAnsi" w:cstheme="majorHAnsi"/>
          <w:i/>
          <w:sz w:val="24"/>
          <w:szCs w:val="24"/>
        </w:rPr>
        <w:t xml:space="preserve"> </w:t>
      </w:r>
      <w:proofErr w:type="spellStart"/>
      <w:r w:rsidRPr="00AD2CCB">
        <w:rPr>
          <w:rFonts w:asciiTheme="majorHAnsi" w:eastAsia="Arial" w:hAnsiTheme="majorHAnsi" w:cstheme="majorHAnsi"/>
          <w:i/>
          <w:sz w:val="24"/>
          <w:szCs w:val="24"/>
        </w:rPr>
        <w:t>against</w:t>
      </w:r>
      <w:proofErr w:type="spellEnd"/>
      <w:r w:rsidRPr="00AD2CCB">
        <w:rPr>
          <w:rFonts w:asciiTheme="majorHAnsi" w:eastAsia="Arial" w:hAnsiTheme="majorHAnsi" w:cstheme="majorHAnsi"/>
          <w:i/>
          <w:sz w:val="24"/>
          <w:szCs w:val="24"/>
        </w:rPr>
        <w:t xml:space="preserve"> Information </w:t>
      </w:r>
      <w:proofErr w:type="spellStart"/>
      <w:r w:rsidRPr="00AD2CCB">
        <w:rPr>
          <w:rFonts w:asciiTheme="majorHAnsi" w:eastAsia="Arial" w:hAnsiTheme="majorHAnsi" w:cstheme="majorHAnsi"/>
          <w:i/>
          <w:sz w:val="24"/>
          <w:szCs w:val="24"/>
        </w:rPr>
        <w:t>Systems</w:t>
      </w:r>
      <w:proofErr w:type="spellEnd"/>
      <w:r w:rsidRPr="00AD2CCB">
        <w:rPr>
          <w:rFonts w:asciiTheme="majorHAnsi" w:eastAsia="Arial Narrow" w:hAnsiTheme="majorHAnsi" w:cstheme="majorHAnsi"/>
          <w:sz w:val="24"/>
          <w:szCs w:val="24"/>
        </w:rPr>
        <w:t xml:space="preserve">) sau </w:t>
      </w:r>
      <w:proofErr w:type="spellStart"/>
      <w:r w:rsidRPr="00AD2CCB">
        <w:rPr>
          <w:rFonts w:asciiTheme="majorHAnsi" w:eastAsia="Arial Narrow" w:hAnsiTheme="majorHAnsi" w:cstheme="majorHAnsi"/>
          <w:b/>
          <w:sz w:val="24"/>
          <w:szCs w:val="24"/>
        </w:rPr>
        <w:t>Action</w:t>
      </w:r>
      <w:proofErr w:type="spellEnd"/>
      <w:r w:rsidRPr="00AD2CCB">
        <w:rPr>
          <w:rFonts w:asciiTheme="majorHAnsi" w:eastAsia="Arial Narrow" w:hAnsiTheme="majorHAnsi" w:cstheme="majorHAnsi"/>
          <w:b/>
          <w:sz w:val="24"/>
          <w:szCs w:val="24"/>
        </w:rPr>
        <w:t xml:space="preserve"> </w:t>
      </w:r>
      <w:proofErr w:type="spellStart"/>
      <w:r w:rsidRPr="00AD2CCB">
        <w:rPr>
          <w:rFonts w:asciiTheme="majorHAnsi" w:eastAsia="Arial Narrow" w:hAnsiTheme="majorHAnsi" w:cstheme="majorHAnsi"/>
          <w:b/>
          <w:sz w:val="24"/>
          <w:szCs w:val="24"/>
        </w:rPr>
        <w:t>Leader</w:t>
      </w:r>
      <w:proofErr w:type="spellEnd"/>
      <w:r w:rsidRPr="00AD2CCB">
        <w:rPr>
          <w:rFonts w:asciiTheme="majorHAnsi" w:eastAsia="Arial Narrow" w:hAnsiTheme="majorHAnsi" w:cstheme="majorHAnsi"/>
          <w:b/>
          <w:sz w:val="24"/>
          <w:szCs w:val="24"/>
        </w:rPr>
        <w:t xml:space="preserve"> </w:t>
      </w:r>
      <w:r w:rsidRPr="00AD2CCB">
        <w:rPr>
          <w:rFonts w:asciiTheme="majorHAnsi" w:eastAsia="Arial Narrow" w:hAnsiTheme="majorHAnsi" w:cstheme="majorHAnsi"/>
          <w:sz w:val="24"/>
          <w:szCs w:val="24"/>
        </w:rPr>
        <w:t>(în cadrul tuturor priorităților).</w:t>
      </w:r>
    </w:p>
    <w:p w14:paraId="48B900F3"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Combaterea fenomenelor infracționale / moduri de operare, care afectează interesele statelor membre UE,  pot fi realizate în mod unitar, integrat, pe mai multe domenii infracționale, în cadrul </w:t>
      </w:r>
      <w:r w:rsidRPr="00AD2CCB">
        <w:rPr>
          <w:rFonts w:asciiTheme="majorHAnsi" w:eastAsia="Arial Narrow" w:hAnsiTheme="majorHAnsi" w:cstheme="majorHAnsi"/>
          <w:b/>
          <w:sz w:val="24"/>
          <w:szCs w:val="24"/>
        </w:rPr>
        <w:t>JAD-urilor</w:t>
      </w:r>
      <w:r w:rsidRPr="00AD2CCB">
        <w:rPr>
          <w:rFonts w:asciiTheme="majorHAnsi" w:eastAsia="Arial Narrow" w:hAnsiTheme="majorHAnsi" w:cstheme="majorHAnsi"/>
          <w:sz w:val="24"/>
          <w:szCs w:val="24"/>
        </w:rPr>
        <w:t xml:space="preserve">. </w:t>
      </w:r>
    </w:p>
    <w:p w14:paraId="7C664144"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De asemenea, în fiecare an România se implică activ, cu eforturi și rezultate notabile, în derularea activităților aferente zilelor comune de acțiune la nivel European - </w:t>
      </w:r>
      <w:r w:rsidRPr="00AD2CCB">
        <w:rPr>
          <w:rFonts w:asciiTheme="majorHAnsi" w:eastAsia="Arial Narrow" w:hAnsiTheme="majorHAnsi" w:cstheme="majorHAnsi"/>
          <w:b/>
          <w:sz w:val="24"/>
          <w:szCs w:val="24"/>
        </w:rPr>
        <w:t>JAD THB,</w:t>
      </w:r>
      <w:r w:rsidRPr="00AD2CCB">
        <w:rPr>
          <w:rFonts w:asciiTheme="majorHAnsi" w:eastAsia="Arial" w:hAnsiTheme="majorHAnsi" w:cstheme="majorHAnsi"/>
          <w:sz w:val="24"/>
          <w:szCs w:val="24"/>
        </w:rPr>
        <w:t xml:space="preserve"> dedicate prevenirii și combaterii traficului de persoane.</w:t>
      </w:r>
    </w:p>
    <w:p w14:paraId="79E2C97B"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instrumentarea cauzelor penale în domeniul traficului de persoane pe plan internațional, România a cooperat cu autoritățile corespondente din </w:t>
      </w:r>
      <w:proofErr w:type="spellStart"/>
      <w:r w:rsidRPr="00AD2CCB">
        <w:rPr>
          <w:rFonts w:asciiTheme="majorHAnsi" w:eastAsia="Arial Narrow" w:hAnsiTheme="majorHAnsi" w:cstheme="majorHAnsi"/>
          <w:sz w:val="24"/>
          <w:szCs w:val="24"/>
        </w:rPr>
        <w:t>ţările</w:t>
      </w:r>
      <w:proofErr w:type="spellEnd"/>
      <w:r w:rsidRPr="00AD2CCB">
        <w:rPr>
          <w:rFonts w:asciiTheme="majorHAnsi" w:eastAsia="Arial Narrow" w:hAnsiTheme="majorHAnsi" w:cstheme="majorHAnsi"/>
          <w:sz w:val="24"/>
          <w:szCs w:val="24"/>
        </w:rPr>
        <w:t xml:space="preserve"> de </w:t>
      </w:r>
      <w:proofErr w:type="spellStart"/>
      <w:r w:rsidRPr="00AD2CCB">
        <w:rPr>
          <w:rFonts w:asciiTheme="majorHAnsi" w:eastAsia="Arial Narrow" w:hAnsiTheme="majorHAnsi" w:cstheme="majorHAnsi"/>
          <w:sz w:val="24"/>
          <w:szCs w:val="24"/>
        </w:rPr>
        <w:t>destinaţie</w:t>
      </w:r>
      <w:proofErr w:type="spellEnd"/>
      <w:r w:rsidRPr="00AD2CCB">
        <w:rPr>
          <w:rFonts w:asciiTheme="majorHAnsi" w:eastAsia="Arial Narrow" w:hAnsiTheme="majorHAnsi" w:cstheme="majorHAnsi"/>
          <w:sz w:val="24"/>
          <w:szCs w:val="24"/>
        </w:rPr>
        <w:t xml:space="preserve">, sub egida EUROJUST, în </w:t>
      </w:r>
      <w:r w:rsidRPr="00AD2CCB">
        <w:rPr>
          <w:rFonts w:asciiTheme="majorHAnsi" w:eastAsia="Arial Narrow" w:hAnsiTheme="majorHAnsi" w:cstheme="majorHAnsi"/>
          <w:sz w:val="24"/>
          <w:szCs w:val="24"/>
        </w:rPr>
        <w:lastRenderedPageBreak/>
        <w:t xml:space="preserve">cadrul unor </w:t>
      </w:r>
      <w:proofErr w:type="spellStart"/>
      <w:r w:rsidRPr="00AD2CCB">
        <w:rPr>
          <w:rFonts w:asciiTheme="majorHAnsi" w:eastAsia="Arial Narrow" w:hAnsiTheme="majorHAnsi" w:cstheme="majorHAnsi"/>
          <w:b/>
          <w:sz w:val="24"/>
          <w:szCs w:val="24"/>
        </w:rPr>
        <w:t>Joint</w:t>
      </w:r>
      <w:proofErr w:type="spellEnd"/>
      <w:r w:rsidRPr="00AD2CCB">
        <w:rPr>
          <w:rFonts w:asciiTheme="majorHAnsi" w:eastAsia="Arial Narrow" w:hAnsiTheme="majorHAnsi" w:cstheme="majorHAnsi"/>
          <w:b/>
          <w:sz w:val="24"/>
          <w:szCs w:val="24"/>
        </w:rPr>
        <w:t xml:space="preserve"> </w:t>
      </w:r>
      <w:proofErr w:type="spellStart"/>
      <w:r w:rsidRPr="00AD2CCB">
        <w:rPr>
          <w:rFonts w:asciiTheme="majorHAnsi" w:eastAsia="Arial Narrow" w:hAnsiTheme="majorHAnsi" w:cstheme="majorHAnsi"/>
          <w:b/>
          <w:sz w:val="24"/>
          <w:szCs w:val="24"/>
        </w:rPr>
        <w:t>Investigation</w:t>
      </w:r>
      <w:proofErr w:type="spellEnd"/>
      <w:r w:rsidRPr="00AD2CCB">
        <w:rPr>
          <w:rFonts w:asciiTheme="majorHAnsi" w:eastAsia="Arial Narrow" w:hAnsiTheme="majorHAnsi" w:cstheme="majorHAnsi"/>
          <w:b/>
          <w:sz w:val="24"/>
          <w:szCs w:val="24"/>
        </w:rPr>
        <w:t xml:space="preserve"> Team - JIT </w:t>
      </w:r>
      <w:r w:rsidRPr="00AD2CCB">
        <w:rPr>
          <w:rFonts w:asciiTheme="majorHAnsi" w:eastAsia="Arial Narrow" w:hAnsiTheme="majorHAnsi" w:cstheme="majorHAnsi"/>
          <w:sz w:val="24"/>
          <w:szCs w:val="24"/>
        </w:rPr>
        <w:t>(echipe comune de anchetă), fiind înregistrat un progres semnificativ în ultimii ani.</w:t>
      </w:r>
    </w:p>
    <w:p w14:paraId="0C587696"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Astfel, dacă în anul 2010 exista un singur </w:t>
      </w:r>
      <w:r w:rsidRPr="00AD2CCB">
        <w:rPr>
          <w:rFonts w:asciiTheme="majorHAnsi" w:eastAsia="Arial Narrow" w:hAnsiTheme="majorHAnsi" w:cstheme="majorHAnsi"/>
          <w:b/>
          <w:sz w:val="24"/>
          <w:szCs w:val="24"/>
        </w:rPr>
        <w:t>JIT</w:t>
      </w:r>
      <w:r w:rsidRPr="00AD2CCB">
        <w:rPr>
          <w:rFonts w:asciiTheme="majorHAnsi" w:eastAsia="Arial Narrow" w:hAnsiTheme="majorHAnsi" w:cstheme="majorHAnsi"/>
          <w:sz w:val="24"/>
          <w:szCs w:val="24"/>
        </w:rPr>
        <w:t xml:space="preserve"> pe linia traficului de persoane, până în prezent ofițerii din cadrul structurilor de combatere a traficului de persoane au fost implicați în 61 de astfel de investigații comune cu state europene precum Marea Britanie, Germania, Spania, Belgia, Cehia, Danemarca, Elveția, Franța, Italia, Norvegia, în această perioadă, aflându-se în lucru un număr de 25 JIT-uri.</w:t>
      </w:r>
    </w:p>
    <w:p w14:paraId="38CA188F"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cadrul E.U. </w:t>
      </w:r>
      <w:proofErr w:type="spellStart"/>
      <w:r w:rsidRPr="00AD2CCB">
        <w:rPr>
          <w:rFonts w:asciiTheme="majorHAnsi" w:eastAsia="Arial Narrow" w:hAnsiTheme="majorHAnsi" w:cstheme="majorHAnsi"/>
          <w:sz w:val="24"/>
          <w:szCs w:val="24"/>
        </w:rPr>
        <w:t>Serious</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and</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Organised</w:t>
      </w:r>
      <w:proofErr w:type="spellEnd"/>
      <w:r w:rsidRPr="00AD2CCB">
        <w:rPr>
          <w:rFonts w:asciiTheme="majorHAnsi" w:eastAsia="Arial Narrow" w:hAnsiTheme="majorHAnsi" w:cstheme="majorHAnsi"/>
          <w:sz w:val="24"/>
          <w:szCs w:val="24"/>
        </w:rPr>
        <w:t xml:space="preserve"> Crime </w:t>
      </w:r>
      <w:proofErr w:type="spellStart"/>
      <w:r w:rsidRPr="00AD2CCB">
        <w:rPr>
          <w:rFonts w:asciiTheme="majorHAnsi" w:eastAsia="Arial Narrow" w:hAnsiTheme="majorHAnsi" w:cstheme="majorHAnsi"/>
          <w:sz w:val="24"/>
          <w:szCs w:val="24"/>
        </w:rPr>
        <w:t>Treath</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Assesment</w:t>
      </w:r>
      <w:proofErr w:type="spellEnd"/>
      <w:r w:rsidRPr="00AD2CCB">
        <w:rPr>
          <w:rFonts w:asciiTheme="majorHAnsi" w:eastAsia="Arial Narrow" w:hAnsiTheme="majorHAnsi" w:cstheme="majorHAnsi"/>
          <w:sz w:val="24"/>
          <w:szCs w:val="24"/>
        </w:rPr>
        <w:t xml:space="preserve"> 2017, transportul bunurilor legale a fost identificat ca o componentă esențială pentru grupările infracționale în </w:t>
      </w:r>
      <w:r w:rsidRPr="00AD2CCB">
        <w:rPr>
          <w:rFonts w:asciiTheme="majorHAnsi" w:eastAsia="Arial Narrow" w:hAnsiTheme="majorHAnsi" w:cstheme="majorHAnsi"/>
          <w:b/>
          <w:sz w:val="24"/>
          <w:szCs w:val="24"/>
        </w:rPr>
        <w:t>transportul bunurilor ilegale</w:t>
      </w:r>
      <w:r w:rsidRPr="00AD2CCB">
        <w:rPr>
          <w:rFonts w:asciiTheme="majorHAnsi" w:eastAsia="Arial Narrow" w:hAnsiTheme="majorHAnsi" w:cstheme="majorHAnsi"/>
          <w:sz w:val="24"/>
          <w:szCs w:val="24"/>
        </w:rPr>
        <w:t xml:space="preserve">. Transportul rapid al bunurilor legale între țări terțe EU și piețele de desfacere s-au intensificat în volum și viteză ceea ce face imposibil un control adecvat.  Posibilitățile clasice de control al mijloacelor de transport internațional în România sunt limitate și ineficiente, procentul descoperirilor de bunuri ilegale pe baza analizelor de risc și a controalelor raportat la alte țări din U.E. fiind unul mic.    </w:t>
      </w:r>
    </w:p>
    <w:p w14:paraId="3C1CE50A"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Datele disponibile din </w:t>
      </w:r>
      <w:r w:rsidRPr="00AD2CCB">
        <w:rPr>
          <w:rFonts w:asciiTheme="majorHAnsi" w:eastAsia="Arial Narrow" w:hAnsiTheme="majorHAnsi" w:cstheme="majorHAnsi"/>
          <w:b/>
          <w:sz w:val="24"/>
          <w:szCs w:val="24"/>
        </w:rPr>
        <w:t>„European drug market report 2019”</w:t>
      </w:r>
      <w:r w:rsidRPr="00AD2CCB">
        <w:rPr>
          <w:rFonts w:asciiTheme="majorHAnsi" w:eastAsia="Arial Narrow" w:hAnsiTheme="majorHAnsi" w:cstheme="majorHAnsi"/>
          <w:sz w:val="24"/>
          <w:szCs w:val="24"/>
        </w:rPr>
        <w:t xml:space="preserve"> indică faptul că, în general, disponibilitatea </w:t>
      </w:r>
      <w:r w:rsidRPr="00AD2CCB">
        <w:rPr>
          <w:rFonts w:asciiTheme="majorHAnsi" w:eastAsia="Arial Narrow" w:hAnsiTheme="majorHAnsi" w:cstheme="majorHAnsi"/>
          <w:b/>
          <w:sz w:val="24"/>
          <w:szCs w:val="24"/>
        </w:rPr>
        <w:t>drogurilor</w:t>
      </w:r>
      <w:r w:rsidRPr="00AD2CCB">
        <w:rPr>
          <w:rFonts w:asciiTheme="majorHAnsi" w:eastAsia="Arial Narrow" w:hAnsiTheme="majorHAnsi" w:cstheme="majorHAnsi"/>
          <w:sz w:val="24"/>
          <w:szCs w:val="24"/>
        </w:rPr>
        <w:t xml:space="preserve"> în Europa rămâne pe toate tipurile de droguri. Piața europeană a drogurilor se caracterizează tot mai mult prin faptul că populația are acces la o varietate de droguri de mare puritate și cu potență ridicată  care, în termeni reali, sunt de obicei fie echivalente ca preț fie mai ieftine decât în urmă cu zece ani. Utilizarea heroinei și a altor </w:t>
      </w:r>
      <w:proofErr w:type="spellStart"/>
      <w:r w:rsidRPr="00AD2CCB">
        <w:rPr>
          <w:rFonts w:asciiTheme="majorHAnsi" w:eastAsia="Arial Narrow" w:hAnsiTheme="majorHAnsi" w:cstheme="majorHAnsi"/>
          <w:sz w:val="24"/>
          <w:szCs w:val="24"/>
        </w:rPr>
        <w:t>opioide</w:t>
      </w:r>
      <w:proofErr w:type="spellEnd"/>
      <w:r w:rsidRPr="00AD2CCB">
        <w:rPr>
          <w:rFonts w:asciiTheme="majorHAnsi" w:eastAsia="Arial Narrow" w:hAnsiTheme="majorHAnsi" w:cstheme="majorHAnsi"/>
          <w:sz w:val="24"/>
          <w:szCs w:val="24"/>
        </w:rPr>
        <w:t xml:space="preserve"> încă reprezintă cea mai mare parte a riscurilor asociate consumului de droguri. </w:t>
      </w:r>
    </w:p>
    <w:p w14:paraId="3B8B8839"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Piața drogurilor rămâne principala sursă de venituri pentru </w:t>
      </w:r>
      <w:r w:rsidRPr="00AD2CCB">
        <w:rPr>
          <w:rFonts w:asciiTheme="majorHAnsi" w:eastAsia="Arial Narrow" w:hAnsiTheme="majorHAnsi" w:cstheme="majorHAnsi"/>
          <w:b/>
          <w:sz w:val="24"/>
          <w:szCs w:val="24"/>
        </w:rPr>
        <w:t>grupările de criminalitate organizată</w:t>
      </w:r>
      <w:r w:rsidRPr="00AD2CCB">
        <w:rPr>
          <w:rFonts w:asciiTheme="majorHAnsi" w:eastAsia="Arial Narrow" w:hAnsiTheme="majorHAnsi" w:cstheme="majorHAnsi"/>
          <w:sz w:val="24"/>
          <w:szCs w:val="24"/>
        </w:rPr>
        <w:t xml:space="preserve">. Valoarea minimă a pieței drogurilor a fost estimată pentru anul 2017 la 30 miliarde de euro din care traficul de canabis reprezintă 39%, cocaina 31%, heroina 25% iar drogurile sintetice 5%. </w:t>
      </w:r>
    </w:p>
    <w:p w14:paraId="72F5D982"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b/>
          <w:sz w:val="24"/>
          <w:szCs w:val="24"/>
        </w:rPr>
        <w:t xml:space="preserve">Ruta balcanică, </w:t>
      </w:r>
      <w:r w:rsidRPr="00AD2CCB">
        <w:rPr>
          <w:rFonts w:asciiTheme="majorHAnsi" w:eastAsia="Arial Narrow" w:hAnsiTheme="majorHAnsi" w:cstheme="majorHAnsi"/>
          <w:sz w:val="24"/>
          <w:szCs w:val="24"/>
        </w:rPr>
        <w:t xml:space="preserve">așa cum se subliniază și în documentul de țară,  rămâne principalul coridor de intrare a heroinei în UE, în timp ce Balcanii de Vest par să rămână o sursă importantă de origine pentru canabisul vegetal confiscat. De asemenea, UE pare să fie din ce în ce mai utilizată ca zonă de tranzit pentru anumite droguri, cum ar fi cocaina, destinată altor piețe, iar drogurile cu potență ridicată precum </w:t>
      </w:r>
      <w:proofErr w:type="spellStart"/>
      <w:r w:rsidRPr="00AD2CCB">
        <w:rPr>
          <w:rFonts w:asciiTheme="majorHAnsi" w:eastAsia="Arial Narrow" w:hAnsiTheme="majorHAnsi" w:cstheme="majorHAnsi"/>
          <w:sz w:val="24"/>
          <w:szCs w:val="24"/>
        </w:rPr>
        <w:t>opioidele</w:t>
      </w:r>
      <w:proofErr w:type="spellEnd"/>
      <w:r w:rsidRPr="00AD2CCB">
        <w:rPr>
          <w:rFonts w:asciiTheme="majorHAnsi" w:eastAsia="Arial Narrow" w:hAnsiTheme="majorHAnsi" w:cstheme="majorHAnsi"/>
          <w:sz w:val="24"/>
          <w:szCs w:val="24"/>
        </w:rPr>
        <w:t xml:space="preserve"> sintetice sunt comercializate din ce în ce mai mult online și expediate prin poștă. În concluzie, fenomenul traficului de drogurilor devine din ce în ce mai global iar piața drogurilor din România este puternic interconectată la tendințele europene. Luând în considerarea rutele comerciale ce tranzitează România traficul de droguri are un canal logistic creat care este exploatat de către grupările de criminalitate organizată. Pentru a putea destructura rețelele de trafic de droguri ce acționează global și pentru a avea un real impact asupra pieței drogurilor, anumite măsuri concrete trebuie întreprinse pentru a întrerupe acest flux, așa cum se indica și în fișa de țară a României. În proiectul de strategie Europeană antidrog pentru perioada 2020- 2025 se prevăd obiective strategice esențiale pentru destructurarea grupărilor ce acționează global. Unul din acestea este </w:t>
      </w:r>
      <w:r w:rsidRPr="00AD2CCB">
        <w:rPr>
          <w:rFonts w:asciiTheme="majorHAnsi" w:eastAsia="Arial Narrow" w:hAnsiTheme="majorHAnsi" w:cstheme="majorHAnsi"/>
          <w:b/>
          <w:sz w:val="24"/>
          <w:szCs w:val="24"/>
        </w:rPr>
        <w:t>creșterea capacității de detecție a cantităților mari de droguri, precursori și pre-precursori.</w:t>
      </w:r>
      <w:r w:rsidRPr="00AD2CCB">
        <w:rPr>
          <w:rFonts w:asciiTheme="majorHAnsi" w:eastAsia="Arial Narrow" w:hAnsiTheme="majorHAnsi" w:cstheme="majorHAnsi"/>
          <w:sz w:val="24"/>
          <w:szCs w:val="24"/>
        </w:rPr>
        <w:t xml:space="preserve">  Acest obiectiv va fi transpus și în strategia națională antidrog pentru perioada 2021-2025 și îi va fi acordată o atenție sporită în cadrul PN FSI.  </w:t>
      </w:r>
    </w:p>
    <w:p w14:paraId="5CA63228"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Având în vedere faptul că în ultimii ani grupările de </w:t>
      </w:r>
      <w:r w:rsidRPr="00AD2CCB">
        <w:rPr>
          <w:rFonts w:asciiTheme="majorHAnsi" w:eastAsia="Arial Narrow" w:hAnsiTheme="majorHAnsi" w:cstheme="majorHAnsi"/>
          <w:b/>
          <w:sz w:val="24"/>
          <w:szCs w:val="24"/>
        </w:rPr>
        <w:t>criminalitate organizată</w:t>
      </w:r>
      <w:r w:rsidRPr="00AD2CCB">
        <w:rPr>
          <w:rFonts w:asciiTheme="majorHAnsi" w:eastAsia="Arial Narrow" w:hAnsiTheme="majorHAnsi" w:cstheme="majorHAnsi"/>
          <w:sz w:val="24"/>
          <w:szCs w:val="24"/>
        </w:rPr>
        <w:t xml:space="preserve"> sunt tot mai active pe mai multe genuri de criminalitate (organizații </w:t>
      </w:r>
      <w:proofErr w:type="spellStart"/>
      <w:r w:rsidRPr="00AD2CCB">
        <w:rPr>
          <w:rFonts w:asciiTheme="majorHAnsi" w:eastAsia="Arial Narrow" w:hAnsiTheme="majorHAnsi" w:cstheme="majorHAnsi"/>
          <w:sz w:val="24"/>
          <w:szCs w:val="24"/>
        </w:rPr>
        <w:t>policriminale</w:t>
      </w:r>
      <w:proofErr w:type="spellEnd"/>
      <w:r w:rsidRPr="00AD2CCB">
        <w:rPr>
          <w:rFonts w:asciiTheme="majorHAnsi" w:eastAsia="Arial Narrow" w:hAnsiTheme="majorHAnsi" w:cstheme="majorHAnsi"/>
          <w:sz w:val="24"/>
          <w:szCs w:val="24"/>
        </w:rPr>
        <w:t xml:space="preserve">) fiind interesate de a se interconecta în circuitele legale comerciale și astfel de a avea permanent acces la infrastructuri economice din mai multe state europene exista riscul ca în viitor să se observe o dezvoltare a unor astfel  de infrastructuri criminale. În această situație, menținerea și continuarea parteneriatelor operative prin organizarea </w:t>
      </w:r>
      <w:r w:rsidRPr="00AD2CCB">
        <w:rPr>
          <w:rFonts w:asciiTheme="majorHAnsi" w:eastAsia="Arial" w:hAnsiTheme="majorHAnsi" w:cstheme="majorHAnsi"/>
          <w:b/>
          <w:sz w:val="24"/>
          <w:szCs w:val="24"/>
        </w:rPr>
        <w:t>echipelor comune de genul JAD și J-CAT</w:t>
      </w:r>
      <w:r w:rsidRPr="00AD2CCB">
        <w:rPr>
          <w:rFonts w:asciiTheme="majorHAnsi" w:eastAsia="Arial Narrow" w:hAnsiTheme="majorHAnsi" w:cstheme="majorHAnsi"/>
          <w:sz w:val="24"/>
          <w:szCs w:val="24"/>
        </w:rPr>
        <w:t xml:space="preserve"> ar crea premisele creșterii posibilităților de investigare, dar și a creșterii numărului de organizații criminale identificate și care operează în mai multe state europene și pe mai multe domenii infracționale, pe modelul oferirii de servicii de tipul crime as a service. </w:t>
      </w:r>
    </w:p>
    <w:p w14:paraId="6EDF11F4"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 xml:space="preserve">Prin intermediul </w:t>
      </w:r>
      <w:proofErr w:type="spellStart"/>
      <w:r w:rsidRPr="00AD2CCB">
        <w:rPr>
          <w:rFonts w:asciiTheme="majorHAnsi" w:eastAsia="Arial Narrow" w:hAnsiTheme="majorHAnsi" w:cstheme="majorHAnsi"/>
          <w:b/>
          <w:sz w:val="24"/>
          <w:szCs w:val="24"/>
        </w:rPr>
        <w:t>Cybercrime</w:t>
      </w:r>
      <w:proofErr w:type="spellEnd"/>
      <w:r w:rsidRPr="00AD2CCB">
        <w:rPr>
          <w:rFonts w:asciiTheme="majorHAnsi" w:eastAsia="Arial Narrow" w:hAnsiTheme="majorHAnsi" w:cstheme="majorHAnsi"/>
          <w:b/>
          <w:sz w:val="24"/>
          <w:szCs w:val="24"/>
        </w:rPr>
        <w:t xml:space="preserve"> </w:t>
      </w:r>
      <w:proofErr w:type="spellStart"/>
      <w:r w:rsidRPr="00AD2CCB">
        <w:rPr>
          <w:rFonts w:asciiTheme="majorHAnsi" w:eastAsia="Arial Narrow" w:hAnsiTheme="majorHAnsi" w:cstheme="majorHAnsi"/>
          <w:b/>
          <w:sz w:val="24"/>
          <w:szCs w:val="24"/>
        </w:rPr>
        <w:t>Action</w:t>
      </w:r>
      <w:proofErr w:type="spellEnd"/>
      <w:r w:rsidRPr="00AD2CCB">
        <w:rPr>
          <w:rFonts w:asciiTheme="majorHAnsi" w:eastAsia="Arial Narrow" w:hAnsiTheme="majorHAnsi" w:cstheme="majorHAnsi"/>
          <w:b/>
          <w:sz w:val="24"/>
          <w:szCs w:val="24"/>
        </w:rPr>
        <w:t xml:space="preserve"> </w:t>
      </w:r>
      <w:proofErr w:type="spellStart"/>
      <w:r w:rsidRPr="00AD2CCB">
        <w:rPr>
          <w:rFonts w:asciiTheme="majorHAnsi" w:eastAsia="Arial Narrow" w:hAnsiTheme="majorHAnsi" w:cstheme="majorHAnsi"/>
          <w:b/>
          <w:sz w:val="24"/>
          <w:szCs w:val="24"/>
        </w:rPr>
        <w:t>Taskforce</w:t>
      </w:r>
      <w:proofErr w:type="spellEnd"/>
      <w:r w:rsidRPr="00AD2CCB">
        <w:rPr>
          <w:rFonts w:asciiTheme="majorHAnsi" w:eastAsia="Arial Narrow" w:hAnsiTheme="majorHAnsi" w:cstheme="majorHAnsi"/>
          <w:b/>
          <w:sz w:val="24"/>
          <w:szCs w:val="24"/>
        </w:rPr>
        <w:t xml:space="preserve"> (J-CAT)</w:t>
      </w:r>
      <w:r w:rsidRPr="00AD2CCB">
        <w:rPr>
          <w:rFonts w:asciiTheme="majorHAnsi" w:eastAsia="Arial Narrow" w:hAnsiTheme="majorHAnsi" w:cstheme="majorHAnsi"/>
          <w:sz w:val="24"/>
          <w:szCs w:val="24"/>
        </w:rPr>
        <w:t xml:space="preserve"> Poliția Română reușește să schimbe într-un mod facil date și informații privind spețe complexe din aria criminalității informatice, participarea în cadrul J-CAT permițând consolidarea poziției în cadrul programului </w:t>
      </w:r>
      <w:r w:rsidRPr="00AD2CCB">
        <w:rPr>
          <w:rFonts w:asciiTheme="majorHAnsi" w:eastAsia="Arial Narrow" w:hAnsiTheme="majorHAnsi" w:cstheme="majorHAnsi"/>
          <w:b/>
          <w:sz w:val="24"/>
          <w:szCs w:val="24"/>
        </w:rPr>
        <w:t>EMPACT,</w:t>
      </w:r>
      <w:r w:rsidRPr="00AD2CCB">
        <w:rPr>
          <w:rFonts w:asciiTheme="majorHAnsi" w:eastAsia="Arial Narrow" w:hAnsiTheme="majorHAnsi" w:cstheme="majorHAnsi"/>
          <w:sz w:val="24"/>
          <w:szCs w:val="24"/>
        </w:rPr>
        <w:t xml:space="preserve"> schimbul rapid de informații în cadrul echipelor de anchetă și detașarea de experți în cauze complexe de criminalitate informatica transfrontalieră.</w:t>
      </w:r>
    </w:p>
    <w:p w14:paraId="7EC0AD48"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România acționează, de asemenea, pe următoarele paliere de combatere a criminalității transfrontaliere: </w:t>
      </w:r>
    </w:p>
    <w:p w14:paraId="40C495DF"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Asistența judiciară și polițienească internațională pentru combaterea infracțiunilor grupurilor organizate de criminalitate itinerantă care comit infracțiuni contra patrimoniului;</w:t>
      </w:r>
    </w:p>
    <w:p w14:paraId="50B66972"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Combaterea traficului internațional cu autovehicule;</w:t>
      </w:r>
    </w:p>
    <w:p w14:paraId="00F827AA"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Combaterea traficului ilicit cu bunuri culturale mobile;</w:t>
      </w:r>
    </w:p>
    <w:p w14:paraId="4B1651CA"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Depistarea, prinderea și predarea/extrădarea persoanelor urmărite la nivel european/internațional.</w:t>
      </w:r>
    </w:p>
    <w:p w14:paraId="324C9298"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Numai în anul 2019, Direcția de Investigații Criminale a efectuat 28 de delegări în vederea soluționării unor </w:t>
      </w:r>
      <w:r w:rsidRPr="00AD2CCB">
        <w:rPr>
          <w:rFonts w:asciiTheme="majorHAnsi" w:eastAsia="Arial Narrow" w:hAnsiTheme="majorHAnsi" w:cstheme="majorHAnsi"/>
          <w:b/>
          <w:sz w:val="24"/>
          <w:szCs w:val="24"/>
        </w:rPr>
        <w:t>ordine europene de anchetă</w:t>
      </w:r>
      <w:r w:rsidRPr="00AD2CCB">
        <w:rPr>
          <w:rFonts w:asciiTheme="majorHAnsi" w:eastAsia="Arial Narrow" w:hAnsiTheme="majorHAnsi" w:cstheme="majorHAnsi"/>
          <w:sz w:val="24"/>
          <w:szCs w:val="24"/>
        </w:rPr>
        <w:t xml:space="preserve"> sau </w:t>
      </w:r>
      <w:r w:rsidRPr="00AD2CCB">
        <w:rPr>
          <w:rFonts w:asciiTheme="majorHAnsi" w:eastAsia="Arial Narrow" w:hAnsiTheme="majorHAnsi" w:cstheme="majorHAnsi"/>
          <w:b/>
          <w:sz w:val="24"/>
          <w:szCs w:val="24"/>
        </w:rPr>
        <w:t>cereri de comisie rogatorie internațională</w:t>
      </w:r>
      <w:r w:rsidRPr="00AD2CCB">
        <w:rPr>
          <w:rFonts w:asciiTheme="majorHAnsi" w:eastAsia="Arial Narrow" w:hAnsiTheme="majorHAnsi" w:cstheme="majorHAnsi"/>
          <w:sz w:val="24"/>
          <w:szCs w:val="24"/>
        </w:rPr>
        <w:t xml:space="preserve"> formulate de autoritățile străine. Activitățile în aceste cereri de asistență judiciară internațională au constat în principal în: efectuarea de percheziții domiciliare, efectuarea de audieri de </w:t>
      </w:r>
      <w:proofErr w:type="spellStart"/>
      <w:r w:rsidRPr="00AD2CCB">
        <w:rPr>
          <w:rFonts w:asciiTheme="majorHAnsi" w:eastAsia="Arial Narrow" w:hAnsiTheme="majorHAnsi" w:cstheme="majorHAnsi"/>
          <w:sz w:val="24"/>
          <w:szCs w:val="24"/>
        </w:rPr>
        <w:t>suspecţi</w:t>
      </w:r>
      <w:proofErr w:type="spellEnd"/>
      <w:r w:rsidRPr="00AD2CCB">
        <w:rPr>
          <w:rFonts w:asciiTheme="majorHAnsi" w:eastAsia="Arial Narrow" w:hAnsiTheme="majorHAnsi" w:cstheme="majorHAnsi"/>
          <w:sz w:val="24"/>
          <w:szCs w:val="24"/>
        </w:rPr>
        <w:t>/</w:t>
      </w:r>
      <w:proofErr w:type="spellStart"/>
      <w:r w:rsidRPr="00AD2CCB">
        <w:rPr>
          <w:rFonts w:asciiTheme="majorHAnsi" w:eastAsia="Arial Narrow" w:hAnsiTheme="majorHAnsi" w:cstheme="majorHAnsi"/>
          <w:sz w:val="24"/>
          <w:szCs w:val="24"/>
        </w:rPr>
        <w:t>inculpaţi</w:t>
      </w:r>
      <w:proofErr w:type="spellEnd"/>
      <w:r w:rsidRPr="00AD2CCB">
        <w:rPr>
          <w:rFonts w:asciiTheme="majorHAnsi" w:eastAsia="Arial Narrow" w:hAnsiTheme="majorHAnsi" w:cstheme="majorHAnsi"/>
          <w:sz w:val="24"/>
          <w:szCs w:val="24"/>
        </w:rPr>
        <w:t xml:space="preserve"> şi martori, punerea în executare de MEA, verificări şi identificări de persoane, </w:t>
      </w:r>
      <w:proofErr w:type="spellStart"/>
      <w:r w:rsidRPr="00AD2CCB">
        <w:rPr>
          <w:rFonts w:asciiTheme="majorHAnsi" w:eastAsia="Arial Narrow" w:hAnsiTheme="majorHAnsi" w:cstheme="majorHAnsi"/>
          <w:sz w:val="24"/>
          <w:szCs w:val="24"/>
        </w:rPr>
        <w:t>investigaţii</w:t>
      </w:r>
      <w:proofErr w:type="spellEnd"/>
      <w:r w:rsidRPr="00AD2CCB">
        <w:rPr>
          <w:rFonts w:asciiTheme="majorHAnsi" w:eastAsia="Arial Narrow" w:hAnsiTheme="majorHAnsi" w:cstheme="majorHAnsi"/>
          <w:sz w:val="24"/>
          <w:szCs w:val="24"/>
        </w:rPr>
        <w:t xml:space="preserve">, identificări </w:t>
      </w:r>
      <w:proofErr w:type="spellStart"/>
      <w:r w:rsidRPr="00AD2CCB">
        <w:rPr>
          <w:rFonts w:asciiTheme="majorHAnsi" w:eastAsia="Arial Narrow" w:hAnsiTheme="majorHAnsi" w:cstheme="majorHAnsi"/>
          <w:sz w:val="24"/>
          <w:szCs w:val="24"/>
        </w:rPr>
        <w:t>profile</w:t>
      </w:r>
      <w:proofErr w:type="spellEnd"/>
      <w:r w:rsidRPr="00AD2CCB">
        <w:rPr>
          <w:rFonts w:asciiTheme="majorHAnsi" w:eastAsia="Arial Narrow" w:hAnsiTheme="majorHAnsi" w:cstheme="majorHAnsi"/>
          <w:sz w:val="24"/>
          <w:szCs w:val="24"/>
        </w:rPr>
        <w:t xml:space="preserve"> genetice (comparări formule ADN), interceptări convorbiri telefonice, listinguri apeluri şi comunicări telefonice și/sau efectuarea de filaje.</w:t>
      </w:r>
    </w:p>
    <w:p w14:paraId="3EA098DA"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Astfel, Programul Național FSI al României va finanța următoarele </w:t>
      </w:r>
      <w:r w:rsidRPr="00AD2CCB">
        <w:rPr>
          <w:rFonts w:asciiTheme="majorHAnsi" w:eastAsia="Arial Narrow" w:hAnsiTheme="majorHAnsi" w:cstheme="majorHAnsi"/>
          <w:sz w:val="24"/>
          <w:szCs w:val="24"/>
          <w:u w:val="single"/>
        </w:rPr>
        <w:t>măsuri de implementare:</w:t>
      </w:r>
      <w:r w:rsidRPr="00AD2CCB">
        <w:rPr>
          <w:rFonts w:asciiTheme="majorHAnsi" w:eastAsia="Arial Narrow" w:hAnsiTheme="majorHAnsi" w:cstheme="majorHAnsi"/>
          <w:sz w:val="24"/>
          <w:szCs w:val="24"/>
        </w:rPr>
        <w:t xml:space="preserve"> </w:t>
      </w:r>
    </w:p>
    <w:p w14:paraId="3214AF8C"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1. intensificarea operațiilor de asigurare a respectării legii între statele membre, inclusiv, atunci când este cazul, în colaborare cu alți actori relevanți, în special pentru a se facilita și a se îmbunătăți utilizarea echipelor comune de anchetă, a patrulelor comune, a urmăririlor transfrontaliere, a supravegherii discrete și a altor mecanisme de cooperare operațională în cadrul ciclului de politici ale UE [...], punând accentul în special pe operațiile transfrontaliere;</w:t>
      </w:r>
    </w:p>
    <w:p w14:paraId="5E9F6B38"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2. îmbunătățirea coordonării și a cooperării între autoritățile de aplicare a legii și alte autorități competente în statele membre și între acestea, precum și cu alți actori relevanți, de exemplu prin intermediul rețelelor de unități naționale specializate, al rețelelor și structurilor de cooperare ale Uniunii și al centrelor Uniunii; </w:t>
      </w:r>
    </w:p>
    <w:p w14:paraId="24E1299F"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3.  îmbunătățirea cooperării interinstituționale [...] la nivelul Uniunii între [...] statele membre [...] și organele, oficiile și agențiile relevante ale Uniunii [...], precum și la nivel național între autoritățile naționale ale fiecărui stat membru.</w:t>
      </w:r>
    </w:p>
    <w:p w14:paraId="6D069047"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Acțiunile avute în vedere în cadrul PN FSI sunt, în principal, următoarele:</w:t>
      </w:r>
    </w:p>
    <w:p w14:paraId="2FD9D3A1"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sisteme și rețele TIC care contribuie la realizarea obiectivelor prezentului regulament, formarea cu privire la utilizarea acestor sisteme, testarea și îmbunătățirea interoperabilității și a calității datelor acestor sisteme;</w:t>
      </w:r>
    </w:p>
    <w:p w14:paraId="52988740"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w:t>
      </w:r>
      <w:r w:rsidRPr="00AD2CCB">
        <w:rPr>
          <w:rFonts w:asciiTheme="majorHAnsi" w:eastAsia="Arial" w:hAnsiTheme="majorHAnsi" w:cstheme="majorHAnsi"/>
          <w:sz w:val="24"/>
          <w:szCs w:val="24"/>
        </w:rPr>
        <w:tab/>
        <w:t xml:space="preserve">acțiuni operaționale în cadrul ciclului de politici ale UE; </w:t>
      </w:r>
    </w:p>
    <w:p w14:paraId="40899231"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acțiuni care sprijină răspunsul eficace și coordonat la criză prin asigurarea unei legături între capacitățile sectoriale existente, centrele de expertiză și centrele de conștientizare cu privire la o anumită situație, inclusiv centrele pentru sănătate, protecție civilă și combaterea terorismului; </w:t>
      </w:r>
    </w:p>
    <w:p w14:paraId="78BA49DF"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sprijin pentru crearea de rețele tematice sau transversale ale unităților naționale specializate în vederea îmbunătățirii încrederii reciproce, a schimbului și a diseminării de competențe și cunoștințe, de informații, de experiență și de bune practici, precum și a punerii în comun a resurselor și a expertizei în cadrul unor centre de excelență comune;</w:t>
      </w:r>
    </w:p>
    <w:p w14:paraId="1DB0FBAE"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w:t>
      </w:r>
      <w:r w:rsidRPr="00AD2CCB">
        <w:rPr>
          <w:rFonts w:asciiTheme="majorHAnsi" w:eastAsia="Arial Narrow" w:hAnsiTheme="majorHAnsi" w:cstheme="majorHAnsi"/>
          <w:sz w:val="24"/>
          <w:szCs w:val="24"/>
        </w:rPr>
        <w:tab/>
        <w:t xml:space="preserve">educația și formarea personalului și a experților din cadrul autorităților de aplicare a legii, al autorităților judiciare și al agențiilor administrative relevante, ținând seama de nevoile operaționale și de analizele riscurilor, [...] în cooperare cu CEPOL și, atunci când este cazul, cu Rețeaua Europeană de Formare Judiciară; </w:t>
      </w:r>
    </w:p>
    <w:p w14:paraId="29B40BDE"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acțiuni care permit comunităților să elaboreze abordări și politici de prevenire locale, precum și acțiuni de sensibilizare și comunicare, în rândul părților interesate și al publicului larg, cu privire la politicile de securitate ale Uniunii; </w:t>
      </w:r>
    </w:p>
    <w:p w14:paraId="7B380C53"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echipamente, mijloace de transport, sisteme de comunicații și facilități [...] relevante pentru securitate; </w:t>
      </w:r>
    </w:p>
    <w:p w14:paraId="303DD3B3"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costurile cu personalul implicat în acțiunile sprijinite de fond sau acțiuni care necesită implicarea personalului din motive tehnice sau din motive legate de securitate.</w:t>
      </w:r>
    </w:p>
    <w:p w14:paraId="4EEF4421"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SPRIJIN OPERAȚIONAL: În temeiul art. 15 România va solicita sprijin  operațional pentru întreținerea echipamentelor tehnice sau a mijloacelor de transport utilizate pentru acțiuni în domeniul prevenirii, al detectării și al </w:t>
      </w:r>
      <w:proofErr w:type="spellStart"/>
      <w:r w:rsidRPr="00AD2CCB">
        <w:rPr>
          <w:rFonts w:asciiTheme="majorHAnsi" w:eastAsia="Arial Narrow" w:hAnsiTheme="majorHAnsi" w:cstheme="majorHAnsi"/>
          <w:sz w:val="24"/>
          <w:szCs w:val="24"/>
        </w:rPr>
        <w:t>investigarii</w:t>
      </w:r>
      <w:proofErr w:type="spellEnd"/>
      <w:r w:rsidRPr="00AD2CCB">
        <w:rPr>
          <w:rFonts w:asciiTheme="majorHAnsi" w:eastAsia="Arial Narrow" w:hAnsiTheme="majorHAnsi" w:cstheme="majorHAnsi"/>
          <w:sz w:val="24"/>
          <w:szCs w:val="24"/>
        </w:rPr>
        <w:t xml:space="preserve"> criminalității grave  și organizate cu dimensiune transfrontalieră. </w:t>
      </w:r>
    </w:p>
    <w:p w14:paraId="4C15987A"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Beneficiari: </w:t>
      </w:r>
    </w:p>
    <w:p w14:paraId="73876F23" w14:textId="77777777" w:rsidR="008D5733" w:rsidRPr="00AD2CCB" w:rsidRDefault="00AD2CCB" w:rsidP="00C34469">
      <w:pPr>
        <w:spacing w:after="120" w:line="240" w:lineRule="auto"/>
        <w:ind w:left="11" w:hanging="11"/>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Inspectoratul General al Poliției Române (IGPR) care, în conformitate cu Legea nr. 218/2002, republicată, este instituția specializată a statului, care exercită atribuții privind apărarea drepturilor și libertăților fundamentale ale persoanei, a proprietății private și publice, prevenirea și descoperirea infracțiunilor (....). </w:t>
      </w:r>
    </w:p>
    <w:p w14:paraId="27456D9A" w14:textId="5986B55F" w:rsidR="008D5733" w:rsidRPr="001A230B" w:rsidRDefault="00AD2CCB" w:rsidP="00C34469">
      <w:pPr>
        <w:pStyle w:val="Heading2"/>
        <w:keepNext w:val="0"/>
        <w:keepLines w:val="0"/>
        <w:spacing w:after="120" w:line="240" w:lineRule="auto"/>
        <w:ind w:left="10" w:firstLine="0"/>
        <w:rPr>
          <w:rFonts w:asciiTheme="majorHAnsi" w:hAnsiTheme="majorHAnsi" w:cstheme="majorHAnsi"/>
          <w:iCs/>
        </w:rPr>
      </w:pPr>
      <w:bookmarkStart w:id="6" w:name="_qnskhvn9ye0v" w:colFirst="0" w:colLast="0"/>
      <w:bookmarkEnd w:id="6"/>
      <w:r w:rsidRPr="001A230B">
        <w:rPr>
          <w:rFonts w:asciiTheme="majorHAnsi" w:eastAsia="Arial Narrow" w:hAnsiTheme="majorHAnsi" w:cstheme="majorHAnsi"/>
          <w:iCs/>
          <w:highlight w:val="yellow"/>
        </w:rPr>
        <w:t xml:space="preserve">2.3. </w:t>
      </w:r>
      <w:proofErr w:type="spellStart"/>
      <w:r w:rsidRPr="001A230B">
        <w:rPr>
          <w:rFonts w:asciiTheme="majorHAnsi" w:eastAsia="Arial Narrow" w:hAnsiTheme="majorHAnsi" w:cstheme="majorHAnsi"/>
          <w:iCs/>
          <w:highlight w:val="yellow"/>
        </w:rPr>
        <w:t>Title</w:t>
      </w:r>
      <w:proofErr w:type="spellEnd"/>
      <w:r w:rsidRPr="001A230B">
        <w:rPr>
          <w:rFonts w:asciiTheme="majorHAnsi" w:eastAsia="Arial Narrow" w:hAnsiTheme="majorHAnsi" w:cstheme="majorHAnsi"/>
          <w:iCs/>
          <w:highlight w:val="yellow"/>
        </w:rPr>
        <w:t xml:space="preserve"> of the specific </w:t>
      </w:r>
      <w:proofErr w:type="spellStart"/>
      <w:r w:rsidRPr="001A230B">
        <w:rPr>
          <w:rFonts w:asciiTheme="majorHAnsi" w:eastAsia="Arial Narrow" w:hAnsiTheme="majorHAnsi" w:cstheme="majorHAnsi"/>
          <w:iCs/>
          <w:highlight w:val="yellow"/>
        </w:rPr>
        <w:t>objective</w:t>
      </w:r>
      <w:proofErr w:type="spellEnd"/>
      <w:r w:rsidRPr="001A230B">
        <w:rPr>
          <w:rFonts w:asciiTheme="majorHAnsi" w:eastAsia="Arial Narrow" w:hAnsiTheme="majorHAnsi" w:cstheme="majorHAnsi"/>
          <w:iCs/>
          <w:highlight w:val="yellow"/>
        </w:rPr>
        <w:t xml:space="preserve"> [300]</w:t>
      </w:r>
      <w:r w:rsidR="00E5757B" w:rsidRPr="001A230B">
        <w:rPr>
          <w:rFonts w:asciiTheme="majorHAnsi" w:eastAsia="Arial Narrow" w:hAnsiTheme="majorHAnsi" w:cstheme="majorHAnsi"/>
          <w:iCs/>
          <w:highlight w:val="yellow"/>
        </w:rPr>
        <w:t xml:space="preserve"> </w:t>
      </w:r>
      <w:r w:rsidRPr="001A230B">
        <w:rPr>
          <w:rFonts w:asciiTheme="majorHAnsi" w:hAnsiTheme="majorHAnsi" w:cstheme="majorHAnsi"/>
          <w:iCs/>
          <w:highlight w:val="yellow"/>
        </w:rPr>
        <w:t>Sprijinirea eforturilor de consolidare a capacităților în ceea ce privește combaterea și prevenirea criminalității și a terorismului, inclusiv prin cooperarea sporită dintre autoritățile publice și toți actorii relevanți.</w:t>
      </w:r>
    </w:p>
    <w:p w14:paraId="42A608B8" w14:textId="0A124259" w:rsidR="00E5757B" w:rsidRPr="00E5757B" w:rsidRDefault="00E5757B" w:rsidP="00C34469">
      <w:pPr>
        <w:spacing w:after="120" w:line="240" w:lineRule="auto"/>
        <w:ind w:left="360"/>
        <w:rPr>
          <w:rFonts w:asciiTheme="majorHAnsi" w:hAnsiTheme="majorHAnsi" w:cstheme="majorHAnsi"/>
          <w:b/>
          <w:sz w:val="24"/>
          <w:szCs w:val="24"/>
        </w:rPr>
      </w:pPr>
      <w:bookmarkStart w:id="7" w:name="_Hlk54802298"/>
      <w:r w:rsidRPr="00E5757B">
        <w:rPr>
          <w:rFonts w:asciiTheme="majorHAnsi" w:hAnsiTheme="majorHAnsi" w:cstheme="majorHAnsi"/>
          <w:b/>
          <w:sz w:val="24"/>
          <w:szCs w:val="24"/>
        </w:rPr>
        <w:t xml:space="preserve">2.3.1. </w:t>
      </w:r>
      <w:proofErr w:type="spellStart"/>
      <w:r w:rsidRPr="00E5757B">
        <w:rPr>
          <w:rFonts w:asciiTheme="majorHAnsi" w:hAnsiTheme="majorHAnsi" w:cstheme="majorHAnsi"/>
          <w:b/>
          <w:sz w:val="24"/>
          <w:szCs w:val="24"/>
        </w:rPr>
        <w:t>Description</w:t>
      </w:r>
      <w:proofErr w:type="spellEnd"/>
      <w:r w:rsidRPr="00E5757B">
        <w:rPr>
          <w:rFonts w:asciiTheme="majorHAnsi" w:hAnsiTheme="majorHAnsi" w:cstheme="majorHAnsi"/>
          <w:b/>
          <w:sz w:val="24"/>
          <w:szCs w:val="24"/>
        </w:rPr>
        <w:t xml:space="preserve"> of a specific </w:t>
      </w:r>
      <w:proofErr w:type="spellStart"/>
      <w:r w:rsidRPr="00E5757B">
        <w:rPr>
          <w:rFonts w:asciiTheme="majorHAnsi" w:hAnsiTheme="majorHAnsi" w:cstheme="majorHAnsi"/>
          <w:b/>
          <w:sz w:val="24"/>
          <w:szCs w:val="24"/>
        </w:rPr>
        <w:t>objective</w:t>
      </w:r>
      <w:proofErr w:type="spellEnd"/>
      <w:r w:rsidRPr="00E5757B">
        <w:rPr>
          <w:rFonts w:asciiTheme="majorHAnsi" w:hAnsiTheme="majorHAnsi" w:cstheme="majorHAnsi"/>
          <w:b/>
          <w:sz w:val="24"/>
          <w:szCs w:val="24"/>
        </w:rPr>
        <w:t xml:space="preserv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5757B" w:rsidRPr="004C0798" w14:paraId="05521707" w14:textId="77777777" w:rsidTr="00280487">
        <w:tc>
          <w:tcPr>
            <w:tcW w:w="9628" w:type="dxa"/>
          </w:tcPr>
          <w:p w14:paraId="76A94B63" w14:textId="77777777" w:rsidR="00E5757B" w:rsidRPr="004C0798" w:rsidRDefault="00E5757B" w:rsidP="001A230B">
            <w:pPr>
              <w:spacing w:after="0" w:line="240" w:lineRule="auto"/>
              <w:rPr>
                <w:rFonts w:asciiTheme="majorHAnsi" w:hAnsiTheme="majorHAnsi" w:cstheme="majorHAnsi"/>
                <w:i/>
                <w:color w:val="808080" w:themeColor="background1" w:themeShade="80"/>
              </w:rPr>
            </w:pPr>
            <w:r w:rsidRPr="004C0798">
              <w:rPr>
                <w:rFonts w:asciiTheme="majorHAnsi" w:hAnsiTheme="majorHAnsi" w:cstheme="majorHAnsi"/>
              </w:rPr>
              <w:t xml:space="preserve"> </w:t>
            </w: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for </w:t>
            </w:r>
            <w:proofErr w:type="spellStart"/>
            <w:r w:rsidRPr="004C0798">
              <w:rPr>
                <w:rFonts w:asciiTheme="majorHAnsi" w:hAnsiTheme="majorHAnsi" w:cstheme="majorHAnsi"/>
                <w:i/>
                <w:color w:val="808080" w:themeColor="background1" w:themeShade="80"/>
              </w:rPr>
              <w:t>each</w:t>
            </w:r>
            <w:proofErr w:type="spellEnd"/>
            <w:r w:rsidRPr="004C0798">
              <w:rPr>
                <w:rFonts w:asciiTheme="majorHAnsi" w:hAnsiTheme="majorHAnsi" w:cstheme="majorHAnsi"/>
                <w:i/>
                <w:color w:val="808080" w:themeColor="background1" w:themeShade="80"/>
              </w:rPr>
              <w:t xml:space="preserve"> specific </w:t>
            </w:r>
            <w:proofErr w:type="spellStart"/>
            <w:r w:rsidRPr="004C0798">
              <w:rPr>
                <w:rFonts w:asciiTheme="majorHAnsi" w:hAnsiTheme="majorHAnsi" w:cstheme="majorHAnsi"/>
                <w:i/>
                <w:color w:val="808080" w:themeColor="background1" w:themeShade="80"/>
              </w:rPr>
              <w:t>objective</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initial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situation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proposes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by</w:t>
            </w:r>
            <w:proofErr w:type="spellEnd"/>
            <w:r w:rsidRPr="004C0798">
              <w:rPr>
                <w:rFonts w:asciiTheme="majorHAnsi" w:hAnsiTheme="majorHAnsi" w:cstheme="majorHAnsi"/>
                <w:i/>
                <w:color w:val="808080" w:themeColor="background1" w:themeShade="80"/>
              </w:rPr>
              <w:t xml:space="preserve"> the Fund. It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which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measures</w:t>
            </w:r>
            <w:proofErr w:type="spellEnd"/>
            <w:r w:rsidRPr="004C0798">
              <w:rPr>
                <w:rFonts w:asciiTheme="majorHAnsi" w:hAnsiTheme="majorHAnsi" w:cstheme="majorHAnsi"/>
                <w:i/>
                <w:color w:val="808080" w:themeColor="background1" w:themeShade="80"/>
              </w:rPr>
              <w:t xml:space="preserve"> are </w:t>
            </w:r>
            <w:proofErr w:type="spellStart"/>
            <w:r w:rsidRPr="004C0798">
              <w:rPr>
                <w:rFonts w:asciiTheme="majorHAnsi" w:hAnsiTheme="majorHAnsi" w:cstheme="majorHAnsi"/>
                <w:i/>
                <w:color w:val="808080" w:themeColor="background1" w:themeShade="80"/>
              </w:rPr>
              <w:t>addressed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of the Fund;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actions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within</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scope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3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4 of the AMIF, ISF or BMVI </w:t>
            </w:r>
            <w:proofErr w:type="spellStart"/>
            <w:r w:rsidRPr="004C0798">
              <w:rPr>
                <w:rFonts w:asciiTheme="majorHAnsi" w:hAnsiTheme="majorHAnsi" w:cstheme="majorHAnsi"/>
                <w:i/>
                <w:color w:val="808080" w:themeColor="background1" w:themeShade="80"/>
              </w:rPr>
              <w:t>Regulations</w:t>
            </w:r>
            <w:proofErr w:type="spellEnd"/>
            <w:r w:rsidRPr="004C0798">
              <w:rPr>
                <w:rFonts w:asciiTheme="majorHAnsi" w:hAnsiTheme="majorHAnsi" w:cstheme="majorHAnsi"/>
                <w:i/>
                <w:color w:val="808080" w:themeColor="background1" w:themeShade="80"/>
              </w:rPr>
              <w:t>.</w:t>
            </w:r>
          </w:p>
          <w:p w14:paraId="57BE1F48" w14:textId="77777777" w:rsidR="00E5757B" w:rsidRPr="004C0798" w:rsidRDefault="00E5757B" w:rsidP="001A230B">
            <w:pPr>
              <w:spacing w:after="0" w:line="240" w:lineRule="auto"/>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In particular: For </w:t>
            </w:r>
            <w:proofErr w:type="spellStart"/>
            <w:r w:rsidRPr="004C0798">
              <w:rPr>
                <w:rFonts w:asciiTheme="majorHAnsi" w:hAnsiTheme="majorHAnsi" w:cstheme="majorHAnsi"/>
                <w:i/>
                <w:color w:val="808080" w:themeColor="background1" w:themeShade="80"/>
              </w:rPr>
              <w:t>operating</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 </w:t>
            </w:r>
            <w:proofErr w:type="spellStart"/>
            <w:r w:rsidRPr="004C0798">
              <w:rPr>
                <w:rFonts w:asciiTheme="majorHAnsi" w:hAnsiTheme="majorHAnsi" w:cstheme="majorHAnsi"/>
                <w:i/>
                <w:color w:val="808080" w:themeColor="background1" w:themeShade="80"/>
              </w:rPr>
              <w:t>justification</w:t>
            </w:r>
            <w:proofErr w:type="spellEnd"/>
            <w:r w:rsidRPr="004C0798">
              <w:rPr>
                <w:rFonts w:asciiTheme="majorHAnsi" w:hAnsiTheme="majorHAnsi" w:cstheme="majorHAnsi"/>
                <w:i/>
                <w:color w:val="808080" w:themeColor="background1" w:themeShade="80"/>
              </w:rPr>
              <w:t xml:space="preserve"> in line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w:t>
            </w:r>
            <w:proofErr w:type="spellEnd"/>
            <w:r w:rsidRPr="004C0798">
              <w:rPr>
                <w:rFonts w:asciiTheme="majorHAnsi" w:hAnsiTheme="majorHAnsi" w:cstheme="majorHAnsi"/>
                <w:i/>
                <w:color w:val="808080" w:themeColor="background1" w:themeShade="80"/>
              </w:rPr>
              <w:t xml:space="preserve"> 15</w:t>
            </w:r>
            <w:r w:rsidRPr="004C0798">
              <w:rPr>
                <w:rFonts w:asciiTheme="majorHAnsi" w:hAnsiTheme="majorHAnsi" w:cstheme="majorHAnsi"/>
                <w:i/>
                <w:color w:val="808080" w:themeColor="background1" w:themeShade="80"/>
                <w:vertAlign w:val="superscript"/>
              </w:rPr>
              <w:footnoteReference w:id="5"/>
            </w:r>
            <w:r w:rsidRPr="004C0798">
              <w:rPr>
                <w:rFonts w:asciiTheme="majorHAnsi" w:hAnsiTheme="majorHAnsi" w:cstheme="majorHAnsi"/>
                <w:i/>
                <w:color w:val="808080" w:themeColor="background1" w:themeShade="80"/>
              </w:rPr>
              <w:t xml:space="preserve">of the ISF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15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16 of the BMVI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or </w:t>
            </w:r>
            <w:proofErr w:type="spellStart"/>
            <w:r w:rsidRPr="004C0798">
              <w:rPr>
                <w:rFonts w:asciiTheme="majorHAnsi" w:hAnsiTheme="majorHAnsi" w:cstheme="majorHAnsi"/>
                <w:i/>
                <w:color w:val="808080" w:themeColor="background1" w:themeShade="80"/>
              </w:rPr>
              <w:t>Artic</w:t>
            </w:r>
            <w:proofErr w:type="spellEnd"/>
            <w:r w:rsidRPr="004C0798">
              <w:rPr>
                <w:rFonts w:asciiTheme="majorHAnsi" w:hAnsiTheme="majorHAnsi" w:cstheme="majorHAnsi"/>
                <w:i/>
                <w:color w:val="808080" w:themeColor="background1" w:themeShade="80"/>
              </w:rPr>
              <w:t xml:space="preserve">-le 18 of the AMIF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includes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beneficiaries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statutory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responsibilities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tasks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to</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
          <w:p w14:paraId="33C2F2FC" w14:textId="77777777" w:rsidR="00E5757B" w:rsidRPr="004C0798" w:rsidRDefault="00E5757B" w:rsidP="001A230B">
            <w:pPr>
              <w:spacing w:after="0" w:line="240" w:lineRule="auto"/>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Planned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use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financial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instruments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if</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applicable</w:t>
            </w:r>
            <w:proofErr w:type="spellEnd"/>
            <w:r w:rsidRPr="004C0798">
              <w:rPr>
                <w:rFonts w:asciiTheme="majorHAnsi" w:hAnsiTheme="majorHAnsi" w:cstheme="majorHAnsi"/>
                <w:i/>
                <w:color w:val="808080" w:themeColor="background1" w:themeShade="80"/>
              </w:rPr>
              <w:t>.</w:t>
            </w:r>
          </w:p>
          <w:p w14:paraId="58F0819D" w14:textId="77777777" w:rsidR="00E5757B" w:rsidRPr="004C0798" w:rsidRDefault="00E5757B" w:rsidP="001A230B">
            <w:pPr>
              <w:spacing w:after="0" w:line="240" w:lineRule="auto"/>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AMIF </w:t>
            </w:r>
            <w:proofErr w:type="spellStart"/>
            <w:r w:rsidRPr="004C0798">
              <w:rPr>
                <w:rFonts w:asciiTheme="majorHAnsi" w:hAnsiTheme="majorHAnsi" w:cstheme="majorHAnsi"/>
                <w:i/>
                <w:color w:val="808080" w:themeColor="background1" w:themeShade="80"/>
              </w:rPr>
              <w:t>only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resettlement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solidarity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shall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presented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separately</w:t>
            </w:r>
            <w:proofErr w:type="spellEnd"/>
            <w:r w:rsidRPr="004C0798">
              <w:rPr>
                <w:rFonts w:asciiTheme="majorHAnsi" w:hAnsiTheme="majorHAnsi" w:cstheme="majorHAnsi"/>
                <w:i/>
                <w:color w:val="808080" w:themeColor="background1" w:themeShade="80"/>
              </w:rPr>
              <w:t xml:space="preserve">. </w:t>
            </w:r>
          </w:p>
          <w:p w14:paraId="1DA95C99" w14:textId="77777777" w:rsidR="00E5757B" w:rsidRPr="004C0798" w:rsidRDefault="00E5757B" w:rsidP="001A230B">
            <w:pPr>
              <w:spacing w:after="0" w:line="240" w:lineRule="auto"/>
              <w:rPr>
                <w:rFonts w:asciiTheme="majorHAnsi" w:hAnsiTheme="majorHAnsi" w:cstheme="majorHAnsi"/>
              </w:rPr>
            </w:pPr>
            <w:r w:rsidRPr="004C0798">
              <w:rPr>
                <w:rFonts w:asciiTheme="majorHAnsi" w:hAnsiTheme="majorHAnsi" w:cstheme="majorHAnsi"/>
                <w:i/>
                <w:color w:val="808080" w:themeColor="background1" w:themeShade="80"/>
              </w:rPr>
              <w:t xml:space="preserve">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(16 000 </w:t>
            </w:r>
            <w:proofErr w:type="spellStart"/>
            <w:r w:rsidRPr="004C0798">
              <w:rPr>
                <w:rFonts w:asciiTheme="majorHAnsi" w:hAnsiTheme="majorHAnsi" w:cstheme="majorHAnsi"/>
                <w:i/>
                <w:color w:val="808080" w:themeColor="background1" w:themeShade="80"/>
              </w:rPr>
              <w:t>characters</w:t>
            </w:r>
            <w:proofErr w:type="spellEnd"/>
            <w:r w:rsidRPr="004C0798">
              <w:rPr>
                <w:rFonts w:asciiTheme="majorHAnsi" w:hAnsiTheme="majorHAnsi" w:cstheme="majorHAnsi"/>
                <w:i/>
                <w:color w:val="808080" w:themeColor="background1" w:themeShade="80"/>
              </w:rPr>
              <w:t>)</w:t>
            </w:r>
          </w:p>
        </w:tc>
      </w:tr>
    </w:tbl>
    <w:p w14:paraId="394A18EC" w14:textId="77777777" w:rsidR="00E5757B" w:rsidRPr="004C0798" w:rsidRDefault="00E5757B" w:rsidP="00C34469">
      <w:pPr>
        <w:spacing w:after="120" w:line="240" w:lineRule="auto"/>
        <w:ind w:firstLine="360"/>
        <w:rPr>
          <w:rFonts w:asciiTheme="majorHAnsi" w:hAnsiTheme="majorHAnsi" w:cstheme="majorHAnsi"/>
          <w:b/>
        </w:rPr>
      </w:pPr>
    </w:p>
    <w:bookmarkEnd w:id="7"/>
    <w:p w14:paraId="28A9E010"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w:hAnsiTheme="majorHAnsi" w:cstheme="majorHAnsi"/>
          <w:sz w:val="24"/>
          <w:szCs w:val="24"/>
        </w:rPr>
        <w:t xml:space="preserve">Pentru a asigura eficiența acțiunilor de </w:t>
      </w:r>
      <w:r w:rsidRPr="00AD2CCB">
        <w:rPr>
          <w:rFonts w:asciiTheme="majorHAnsi" w:eastAsia="Arial Narrow" w:hAnsiTheme="majorHAnsi" w:cstheme="majorHAnsi"/>
          <w:b/>
          <w:sz w:val="24"/>
          <w:szCs w:val="24"/>
        </w:rPr>
        <w:t>prevenire și combatere a criminalității și terorismului</w:t>
      </w:r>
      <w:r w:rsidRPr="00AD2CCB">
        <w:rPr>
          <w:rFonts w:asciiTheme="majorHAnsi" w:eastAsia="Arial Narrow" w:hAnsiTheme="majorHAnsi" w:cstheme="majorHAnsi"/>
          <w:sz w:val="24"/>
          <w:szCs w:val="24"/>
        </w:rPr>
        <w:t xml:space="preserve"> este nevoie de conjugarea, cumulativa, a doi factori: o buna </w:t>
      </w:r>
      <w:r w:rsidRPr="00AD2CCB">
        <w:rPr>
          <w:rFonts w:asciiTheme="majorHAnsi" w:eastAsia="Arial Narrow" w:hAnsiTheme="majorHAnsi" w:cstheme="majorHAnsi"/>
          <w:b/>
          <w:sz w:val="24"/>
          <w:szCs w:val="24"/>
        </w:rPr>
        <w:t>capacitate instituțională,</w:t>
      </w:r>
      <w:r w:rsidRPr="00AD2CCB">
        <w:rPr>
          <w:rFonts w:asciiTheme="majorHAnsi" w:eastAsia="Arial Narrow" w:hAnsiTheme="majorHAnsi" w:cstheme="majorHAnsi"/>
          <w:sz w:val="24"/>
          <w:szCs w:val="24"/>
        </w:rPr>
        <w:t xml:space="preserve"> cu personal suficient și dotări corespunzătoare alături de o bună </w:t>
      </w:r>
      <w:r w:rsidRPr="00AD2CCB">
        <w:rPr>
          <w:rFonts w:asciiTheme="majorHAnsi" w:eastAsia="Arial Narrow" w:hAnsiTheme="majorHAnsi" w:cstheme="majorHAnsi"/>
          <w:b/>
          <w:sz w:val="24"/>
          <w:szCs w:val="24"/>
        </w:rPr>
        <w:t>pregătire a personalului.</w:t>
      </w:r>
      <w:r w:rsidRPr="00AD2CCB">
        <w:rPr>
          <w:rFonts w:asciiTheme="majorHAnsi" w:eastAsia="Arial Narrow" w:hAnsiTheme="majorHAnsi" w:cstheme="majorHAnsi"/>
          <w:sz w:val="24"/>
          <w:szCs w:val="24"/>
        </w:rPr>
        <w:t xml:space="preserve"> </w:t>
      </w:r>
    </w:p>
    <w:p w14:paraId="18059EE8"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Finanțarea oferită prin FSI în cadrul prezentului obiectiv specific va acționa pe ambele paliere, în toate domeniile eligibile, așa cum sunt identificate și în Fișa de țară a României. Protecția cetățenilor și a infrastructurilor critice, protecția martorilor, prevenirea radicalizării, combaterea criminalității informatice, a drogurilor, a criminalității organizate, a traficului de ființe umane sau de </w:t>
      </w:r>
      <w:proofErr w:type="spellStart"/>
      <w:r w:rsidRPr="00AD2CCB">
        <w:rPr>
          <w:rFonts w:asciiTheme="majorHAnsi" w:eastAsia="Arial Narrow" w:hAnsiTheme="majorHAnsi" w:cstheme="majorHAnsi"/>
          <w:sz w:val="24"/>
          <w:szCs w:val="24"/>
        </w:rPr>
        <w:t>migranți</w:t>
      </w:r>
      <w:proofErr w:type="spellEnd"/>
      <w:r w:rsidRPr="00AD2CCB">
        <w:rPr>
          <w:rFonts w:asciiTheme="majorHAnsi" w:eastAsia="Arial Narrow" w:hAnsiTheme="majorHAnsi" w:cstheme="majorHAnsi"/>
          <w:sz w:val="24"/>
          <w:szCs w:val="24"/>
        </w:rPr>
        <w:t xml:space="preserve"> și lupta anticorupție se vor bucura de finanțare atât în vederea creșterii capacității administrative, cât </w:t>
      </w:r>
      <w:r w:rsidRPr="00AD2CCB">
        <w:rPr>
          <w:rFonts w:asciiTheme="majorHAnsi" w:eastAsia="Arial Narrow" w:hAnsiTheme="majorHAnsi" w:cstheme="majorHAnsi"/>
          <w:sz w:val="24"/>
          <w:szCs w:val="24"/>
        </w:rPr>
        <w:lastRenderedPageBreak/>
        <w:t xml:space="preserve">și a instruirii personalului. Desigur, acordarea finanțării va urmări  cu prioritate rezolvarea problemelor identificate în urma unor analize instituționale riguroase și descrise, pe scurt, mai jos.  </w:t>
      </w:r>
    </w:p>
    <w:p w14:paraId="2AADDCA2"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b/>
          <w:sz w:val="24"/>
          <w:szCs w:val="24"/>
        </w:rPr>
        <w:t>Criminalitatea informatică,</w:t>
      </w:r>
      <w:r w:rsidRPr="00AD2CCB">
        <w:rPr>
          <w:rFonts w:asciiTheme="majorHAnsi" w:eastAsia="Arial Narrow" w:hAnsiTheme="majorHAnsi" w:cstheme="majorHAnsi"/>
          <w:sz w:val="24"/>
          <w:szCs w:val="24"/>
        </w:rPr>
        <w:t xml:space="preserve"> identificată ca și prioritate și în fișa de țară a României, va fi una din principalele provocări căreia instituțiile aflate în luptă cu criminalitatea vor trebui să-i facă </w:t>
      </w:r>
      <w:proofErr w:type="spellStart"/>
      <w:r w:rsidRPr="00AD2CCB">
        <w:rPr>
          <w:rFonts w:asciiTheme="majorHAnsi" w:eastAsia="Arial Narrow" w:hAnsiTheme="majorHAnsi" w:cstheme="majorHAnsi"/>
          <w:sz w:val="24"/>
          <w:szCs w:val="24"/>
        </w:rPr>
        <w:t>faţă</w:t>
      </w:r>
      <w:proofErr w:type="spellEnd"/>
      <w:r w:rsidRPr="00AD2CCB">
        <w:rPr>
          <w:rFonts w:asciiTheme="majorHAnsi" w:eastAsia="Arial Narrow" w:hAnsiTheme="majorHAnsi" w:cstheme="majorHAnsi"/>
          <w:sz w:val="24"/>
          <w:szCs w:val="24"/>
        </w:rPr>
        <w:t xml:space="preserve"> în anii următori. </w:t>
      </w:r>
    </w:p>
    <w:p w14:paraId="6AF60F16"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Doar o mică parte din faptele penale comise prin utilizarea sistemelor informatice ajung să fie reclamate și astfel aduse la cunoștința organelor judiciare, fiind dificil de obținut o privire de ansamblu asupra amplorii și evoluției fenomenului. </w:t>
      </w:r>
    </w:p>
    <w:p w14:paraId="7CADAFD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Lupta împotriva acestei criminalității va implica şi</w:t>
      </w:r>
      <w:r w:rsidRPr="00AD2CCB">
        <w:rPr>
          <w:rFonts w:asciiTheme="majorHAnsi" w:eastAsia="Arial Narrow" w:hAnsiTheme="majorHAnsi" w:cstheme="majorHAnsi"/>
          <w:b/>
          <w:sz w:val="24"/>
          <w:szCs w:val="24"/>
        </w:rPr>
        <w:t xml:space="preserve"> sectorul privat,</w:t>
      </w:r>
      <w:r w:rsidRPr="00AD2CCB">
        <w:rPr>
          <w:rFonts w:asciiTheme="majorHAnsi" w:eastAsia="Arial Narrow" w:hAnsiTheme="majorHAnsi" w:cstheme="majorHAnsi"/>
          <w:sz w:val="24"/>
          <w:szCs w:val="24"/>
        </w:rPr>
        <w:t xml:space="preserve"> acesta fiind detentorul tuturor probelor digitale necesare investigațiilor penale. Sectorul privat este primul care observă noile trenduri infracționale în acest domeniu, deține cunoștințe și poate fi implicat și în pregătirea specialiștilor din cadrul Poliției și autorităților judiciare, toate acesta în contextul COVID 19, în care cetățenii și companiile private sunt îndemnate să folosească serviciile de internet ca alternativa la  serviciile fizice.</w:t>
      </w:r>
    </w:p>
    <w:p w14:paraId="2E3F6D80"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Una dintre problemele identificate este aceea că, în prezent, cooperarea cu furnizorii de servicii IT este destul de greoaie, solicitările din partea autorităților fiind transmise în format letric prin serviciul </w:t>
      </w:r>
      <w:proofErr w:type="spellStart"/>
      <w:r w:rsidRPr="00AD2CCB">
        <w:rPr>
          <w:rFonts w:asciiTheme="majorHAnsi" w:eastAsia="Arial Narrow" w:hAnsiTheme="majorHAnsi" w:cstheme="majorHAnsi"/>
          <w:sz w:val="24"/>
          <w:szCs w:val="24"/>
        </w:rPr>
        <w:t>poştal</w:t>
      </w:r>
      <w:proofErr w:type="spellEnd"/>
      <w:r w:rsidRPr="00AD2CCB">
        <w:rPr>
          <w:rFonts w:asciiTheme="majorHAnsi" w:eastAsia="Arial Narrow" w:hAnsiTheme="majorHAnsi" w:cstheme="majorHAnsi"/>
          <w:sz w:val="24"/>
          <w:szCs w:val="24"/>
        </w:rPr>
        <w:t xml:space="preserve">. Acest fapt îngreunează de multe ori activitatea operativă şi întârzie desfășurarea activităților în dosarele penale. </w:t>
      </w:r>
    </w:p>
    <w:p w14:paraId="5258895C"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domeniul </w:t>
      </w:r>
      <w:r w:rsidRPr="00AD2CCB">
        <w:rPr>
          <w:rFonts w:asciiTheme="majorHAnsi" w:eastAsia="Arial Narrow" w:hAnsiTheme="majorHAnsi" w:cstheme="majorHAnsi"/>
          <w:b/>
          <w:sz w:val="24"/>
          <w:szCs w:val="24"/>
        </w:rPr>
        <w:t xml:space="preserve">combaterii pornografiei infantile </w:t>
      </w:r>
      <w:r w:rsidRPr="00AD2CCB">
        <w:rPr>
          <w:rFonts w:asciiTheme="majorHAnsi" w:eastAsia="Arial Narrow" w:hAnsiTheme="majorHAnsi" w:cstheme="majorHAnsi"/>
          <w:sz w:val="24"/>
          <w:szCs w:val="24"/>
        </w:rPr>
        <w:t xml:space="preserve">prin sisteme informatice se impune întărirea reacției autorităților de aplicare a legii, așa cum prevede și Strategia UE 2020 în domeniul combaterii abuzurilor împotriva copiilor, mai ales în contextul actual al pandemiei de COVID 19,  în care  atât copii, cât și abuzatorii, petrec din ce în ce mai mult timp în mediul online. Așa cum se menționează și în fișa de țară a României, se impune dezvoltarea structurilor naționale specializate în combaterea pornografiei infantile prin sisteme informatice și de prevenire a  acestui gen infracțional. Măsurile de dezvoltare avute în vedere vizează: asigurarea cu echipamente necesare desfășurării investigațiilor, dezvoltarea de capabilități naționale în domeniul identificării victimelor și investigațiilor sub acoperire în mediul online și de infiltrare în rețelele online de pornografie infantilă, precum și participarea la inițiativele de cooperare internațională în acest domeniu atât la nivel EUROPOL EC3 cât și la nivel INTERPOL – ICSE. </w:t>
      </w:r>
    </w:p>
    <w:p w14:paraId="299A81AA"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Pandemia globală a COVID-19 a crescut și riscul de </w:t>
      </w:r>
      <w:r w:rsidRPr="00AD2CCB">
        <w:rPr>
          <w:rFonts w:asciiTheme="majorHAnsi" w:eastAsia="Arial Narrow" w:hAnsiTheme="majorHAnsi" w:cstheme="majorHAnsi"/>
          <w:b/>
          <w:sz w:val="24"/>
          <w:szCs w:val="24"/>
        </w:rPr>
        <w:t xml:space="preserve">criminalitate informatică. </w:t>
      </w:r>
      <w:r w:rsidRPr="00AD2CCB">
        <w:rPr>
          <w:rFonts w:asciiTheme="majorHAnsi" w:eastAsia="Arial Narrow" w:hAnsiTheme="majorHAnsi" w:cstheme="majorHAnsi"/>
          <w:sz w:val="24"/>
          <w:szCs w:val="24"/>
        </w:rPr>
        <w:t xml:space="preserve">Infractorii au folosit criza medicală pentru a efectua atacuri de inginerie socială, anume e-mailuri de tip </w:t>
      </w:r>
      <w:proofErr w:type="spellStart"/>
      <w:r w:rsidRPr="00AD2CCB">
        <w:rPr>
          <w:rFonts w:asciiTheme="majorHAnsi" w:eastAsia="Arial Narrow" w:hAnsiTheme="majorHAnsi" w:cstheme="majorHAnsi"/>
          <w:b/>
          <w:sz w:val="24"/>
          <w:szCs w:val="24"/>
        </w:rPr>
        <w:t>phishing</w:t>
      </w:r>
      <w:proofErr w:type="spellEnd"/>
      <w:r w:rsidRPr="00AD2CCB">
        <w:rPr>
          <w:rFonts w:asciiTheme="majorHAnsi" w:eastAsia="Arial Narrow" w:hAnsiTheme="majorHAnsi" w:cstheme="majorHAnsi"/>
          <w:b/>
          <w:sz w:val="24"/>
          <w:szCs w:val="24"/>
        </w:rPr>
        <w:t xml:space="preserve"> </w:t>
      </w:r>
      <w:r w:rsidRPr="00AD2CCB">
        <w:rPr>
          <w:rFonts w:asciiTheme="majorHAnsi" w:eastAsia="Arial Narrow" w:hAnsiTheme="majorHAnsi" w:cstheme="majorHAnsi"/>
          <w:sz w:val="24"/>
          <w:szCs w:val="24"/>
        </w:rPr>
        <w:t>prin campanii de spam și încercări direcționate cum ar fi compromiterea e-mailurilor de afaceri (BEC).</w:t>
      </w:r>
    </w:p>
    <w:p w14:paraId="276D182C"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Pe fondul noilor tendințe în materie de comitere a infracțiunilor, a modurilor avansate de operare folosite de infractori, a particularităților speciale ale noilor tipuri de urme și/sau altor mijloace materiale de probă descoperite în arealul infracțional, </w:t>
      </w:r>
      <w:r w:rsidRPr="00AD2CCB">
        <w:rPr>
          <w:rFonts w:asciiTheme="majorHAnsi" w:eastAsia="Arial" w:hAnsiTheme="majorHAnsi" w:cstheme="majorHAnsi"/>
          <w:b/>
          <w:sz w:val="24"/>
          <w:szCs w:val="24"/>
        </w:rPr>
        <w:t xml:space="preserve">activitatea de cercetare la fața locului </w:t>
      </w:r>
      <w:r w:rsidRPr="00AD2CCB">
        <w:rPr>
          <w:rFonts w:asciiTheme="majorHAnsi" w:eastAsia="Arial Narrow" w:hAnsiTheme="majorHAnsi" w:cstheme="majorHAnsi"/>
          <w:sz w:val="24"/>
          <w:szCs w:val="24"/>
        </w:rPr>
        <w:t xml:space="preserve">a devenit una dintre principalele precondiții pentru furnizarea unui probatoriu valid și relevant. Mai mult, numărul intervențiilor criminalistice este în continua creștere, în anul 2019 fiind realizate aproximativ 200.000 de astfel de intervenții. </w:t>
      </w:r>
    </w:p>
    <w:p w14:paraId="1F45196B"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Apariția acestor noi condiții în care trebuie analizate un volum mare al diferitelor tipuri de urme la locul faptei, precum și revizuirea procedurilor de cercetare și a bunelor practici stabilite împreună cu specialiști criminaliști din UE, impun utilizarea unor echipamente, tehnici și mijloace mobile moderne, care să răspundă în mod prompt, eficient și profesionist nevoilor actuale. </w:t>
      </w:r>
    </w:p>
    <w:p w14:paraId="38ECD1A6"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b/>
          <w:sz w:val="24"/>
          <w:szCs w:val="24"/>
        </w:rPr>
        <w:t>Lupta împotriva traficului de persoane</w:t>
      </w:r>
      <w:r w:rsidRPr="00AD2CCB">
        <w:rPr>
          <w:rFonts w:asciiTheme="majorHAnsi" w:eastAsia="Arial Narrow" w:hAnsiTheme="majorHAnsi" w:cstheme="majorHAnsi"/>
          <w:sz w:val="24"/>
          <w:szCs w:val="24"/>
        </w:rPr>
        <w:t xml:space="preserve">, identificată ca și prioritate în fișa de țară a României, necesită o abordare coordonată, multidisciplinară, care să implice </w:t>
      </w:r>
      <w:proofErr w:type="spellStart"/>
      <w:r w:rsidRPr="00AD2CCB">
        <w:rPr>
          <w:rFonts w:asciiTheme="majorHAnsi" w:eastAsia="Arial Narrow" w:hAnsiTheme="majorHAnsi" w:cstheme="majorHAnsi"/>
          <w:sz w:val="24"/>
          <w:szCs w:val="24"/>
        </w:rPr>
        <w:t>toţi</w:t>
      </w:r>
      <w:proofErr w:type="spellEnd"/>
      <w:r w:rsidRPr="00AD2CCB">
        <w:rPr>
          <w:rFonts w:asciiTheme="majorHAnsi" w:eastAsia="Arial Narrow" w:hAnsiTheme="majorHAnsi" w:cstheme="majorHAnsi"/>
          <w:sz w:val="24"/>
          <w:szCs w:val="24"/>
        </w:rPr>
        <w:t xml:space="preserve"> factorii de decizie cu atribuții în acest domeniu și care sa abordeze atât latura preventivă, cât și cea de combatere a fenomenului. </w:t>
      </w:r>
    </w:p>
    <w:p w14:paraId="7033947C"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Mobilitatea şi specializarea continuă a grupărilor criminale impune creșterea capacității de culegere cu operativitate de date privind traficul de persoane din </w:t>
      </w:r>
      <w:proofErr w:type="spellStart"/>
      <w:r w:rsidRPr="00AD2CCB">
        <w:rPr>
          <w:rFonts w:asciiTheme="majorHAnsi" w:eastAsia="Arial Narrow" w:hAnsiTheme="majorHAnsi" w:cstheme="majorHAnsi"/>
          <w:sz w:val="24"/>
          <w:szCs w:val="24"/>
        </w:rPr>
        <w:t>spaţiile</w:t>
      </w:r>
      <w:proofErr w:type="spellEnd"/>
      <w:r w:rsidRPr="00AD2CCB">
        <w:rPr>
          <w:rFonts w:asciiTheme="majorHAnsi" w:eastAsia="Arial Narrow" w:hAnsiTheme="majorHAnsi" w:cstheme="majorHAnsi"/>
          <w:sz w:val="24"/>
          <w:szCs w:val="24"/>
        </w:rPr>
        <w:t xml:space="preserve"> şi zonele de comitere, de </w:t>
      </w:r>
      <w:r w:rsidRPr="00AD2CCB">
        <w:rPr>
          <w:rFonts w:asciiTheme="majorHAnsi" w:eastAsia="Arial Narrow" w:hAnsiTheme="majorHAnsi" w:cstheme="majorHAnsi"/>
          <w:sz w:val="24"/>
          <w:szCs w:val="24"/>
        </w:rPr>
        <w:lastRenderedPageBreak/>
        <w:t xml:space="preserve">transmiterea cu celeritate a informațiilor către beneficiari şi/sau parteneri si de facilitare a accesului echipelor </w:t>
      </w:r>
      <w:proofErr w:type="spellStart"/>
      <w:r w:rsidRPr="00AD2CCB">
        <w:rPr>
          <w:rFonts w:asciiTheme="majorHAnsi" w:eastAsia="Arial Narrow" w:hAnsiTheme="majorHAnsi" w:cstheme="majorHAnsi"/>
          <w:sz w:val="24"/>
          <w:szCs w:val="24"/>
        </w:rPr>
        <w:t>multi</w:t>
      </w:r>
      <w:proofErr w:type="spellEnd"/>
      <w:r w:rsidRPr="00AD2CCB">
        <w:rPr>
          <w:rFonts w:asciiTheme="majorHAnsi" w:eastAsia="Arial Narrow" w:hAnsiTheme="majorHAnsi" w:cstheme="majorHAnsi"/>
          <w:sz w:val="24"/>
          <w:szCs w:val="24"/>
        </w:rPr>
        <w:t xml:space="preserve">-disciplinare de investigare în zonele de </w:t>
      </w:r>
      <w:proofErr w:type="spellStart"/>
      <w:r w:rsidRPr="00AD2CCB">
        <w:rPr>
          <w:rFonts w:asciiTheme="majorHAnsi" w:eastAsia="Arial Narrow" w:hAnsiTheme="majorHAnsi" w:cstheme="majorHAnsi"/>
          <w:sz w:val="24"/>
          <w:szCs w:val="24"/>
        </w:rPr>
        <w:t>acţiune</w:t>
      </w:r>
      <w:proofErr w:type="spellEnd"/>
      <w:r w:rsidRPr="00AD2CCB">
        <w:rPr>
          <w:rFonts w:asciiTheme="majorHAnsi" w:eastAsia="Arial Narrow" w:hAnsiTheme="majorHAnsi" w:cstheme="majorHAnsi"/>
          <w:sz w:val="24"/>
          <w:szCs w:val="24"/>
        </w:rPr>
        <w:t xml:space="preserve"> ale grupărilor criminale.</w:t>
      </w:r>
    </w:p>
    <w:p w14:paraId="05D44852"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Activitățile de </w:t>
      </w:r>
      <w:r w:rsidRPr="00AD2CCB">
        <w:rPr>
          <w:rFonts w:asciiTheme="majorHAnsi" w:eastAsia="Arial Narrow" w:hAnsiTheme="majorHAnsi" w:cstheme="majorHAnsi"/>
          <w:b/>
          <w:sz w:val="24"/>
          <w:szCs w:val="24"/>
        </w:rPr>
        <w:t>prevenire a traficului de persoane</w:t>
      </w:r>
      <w:r w:rsidRPr="00AD2CCB">
        <w:rPr>
          <w:rFonts w:asciiTheme="majorHAnsi" w:eastAsia="Arial Narrow" w:hAnsiTheme="majorHAnsi" w:cstheme="majorHAnsi"/>
          <w:sz w:val="24"/>
          <w:szCs w:val="24"/>
        </w:rPr>
        <w:t xml:space="preserve"> vor corespunde priorităților Directivei 36/2011 și vor consta în adoptarea unor măsuri de descurajare și reducere a cererii care favorizează toate formele de exploatare, precum și măsuri de reducere a riscului ca oamenii să devină victime ale traficului de persoane. </w:t>
      </w:r>
    </w:p>
    <w:p w14:paraId="3BE71B3A"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România, funcționează încă din anul 2003 Oficiul Național pentru </w:t>
      </w:r>
      <w:r w:rsidRPr="00AD2CCB">
        <w:rPr>
          <w:rFonts w:asciiTheme="majorHAnsi" w:eastAsia="Arial" w:hAnsiTheme="majorHAnsi" w:cstheme="majorHAnsi"/>
          <w:b/>
          <w:sz w:val="24"/>
          <w:szCs w:val="24"/>
        </w:rPr>
        <w:t>Protecția Martorilor,</w:t>
      </w:r>
      <w:r w:rsidRPr="00AD2CCB">
        <w:rPr>
          <w:rFonts w:asciiTheme="majorHAnsi" w:eastAsia="Arial Narrow" w:hAnsiTheme="majorHAnsi" w:cstheme="majorHAnsi"/>
          <w:sz w:val="24"/>
          <w:szCs w:val="24"/>
        </w:rPr>
        <w:t xml:space="preserve"> înregistrând, în medie, un coeficient anual de creștere cu 1,6 al persoanelor incluse în program. În același context, numărul activităților efectuate de Oficiu pentru atingerea obiectivelor programelor de protecția martorilor din alte state a crescut cu peste 20% în ultimii 3 ani.</w:t>
      </w:r>
    </w:p>
    <w:p w14:paraId="2C0C44B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Una dintre problemele întâmpinate o reprezintă dificultatea în gestiunea integrată a datelor și informațiilor operaționale cu incidență în managementul martorilor protejați prin prisma atât a volumului mare de date și informații, cât și a complexității și varietății surselor de date. </w:t>
      </w:r>
    </w:p>
    <w:p w14:paraId="6DB495EA"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O altă problemă o reprezintă necesitatea unei mai bune corelări a datelor administrative cu informațiile operaționale, precum și monitorizarea în format letric a îndeplinirii obligațiilor martorilor protejați materializate în protocolul de protecție și schema de sprijin, fiind necesară gestiunea electronică a datelor pentru implementarea unor mecanisme informatice de tipul: </w:t>
      </w:r>
      <w:proofErr w:type="spellStart"/>
      <w:r w:rsidRPr="00AD2CCB">
        <w:rPr>
          <w:rFonts w:asciiTheme="majorHAnsi" w:eastAsia="Arial Narrow" w:hAnsiTheme="majorHAnsi" w:cstheme="majorHAnsi"/>
          <w:sz w:val="24"/>
          <w:szCs w:val="24"/>
        </w:rPr>
        <w:t>activity</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planning</w:t>
      </w:r>
      <w:proofErr w:type="spellEnd"/>
      <w:r w:rsidRPr="00AD2CCB">
        <w:rPr>
          <w:rFonts w:asciiTheme="majorHAnsi" w:eastAsia="Arial Narrow" w:hAnsiTheme="majorHAnsi" w:cstheme="majorHAnsi"/>
          <w:sz w:val="24"/>
          <w:szCs w:val="24"/>
        </w:rPr>
        <w:t xml:space="preserve"> (calendar, resurse, acțiuni propuse vs. efectiv realizate) și </w:t>
      </w:r>
      <w:proofErr w:type="spellStart"/>
      <w:r w:rsidRPr="00AD2CCB">
        <w:rPr>
          <w:rFonts w:asciiTheme="majorHAnsi" w:eastAsia="Arial Narrow" w:hAnsiTheme="majorHAnsi" w:cstheme="majorHAnsi"/>
          <w:sz w:val="24"/>
          <w:szCs w:val="24"/>
        </w:rPr>
        <w:t>early</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warning</w:t>
      </w:r>
      <w:proofErr w:type="spellEnd"/>
      <w:r w:rsidRPr="00AD2CCB">
        <w:rPr>
          <w:rFonts w:asciiTheme="majorHAnsi" w:eastAsia="Arial Narrow" w:hAnsiTheme="majorHAnsi" w:cstheme="majorHAnsi"/>
          <w:sz w:val="24"/>
          <w:szCs w:val="24"/>
        </w:rPr>
        <w:t>.</w:t>
      </w:r>
    </w:p>
    <w:p w14:paraId="43E81AC2"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Directiva PNR și regulamentele ETIAS și cele referitoare la pachetul interoperabilitate prevăd asocierea datelor </w:t>
      </w:r>
      <w:proofErr w:type="spellStart"/>
      <w:r w:rsidRPr="00AD2CCB">
        <w:rPr>
          <w:rFonts w:asciiTheme="majorHAnsi" w:eastAsia="Arial Narrow" w:hAnsiTheme="majorHAnsi" w:cstheme="majorHAnsi"/>
          <w:sz w:val="24"/>
          <w:szCs w:val="24"/>
        </w:rPr>
        <w:t>biometrice</w:t>
      </w:r>
      <w:proofErr w:type="spellEnd"/>
      <w:r w:rsidRPr="00AD2CCB">
        <w:rPr>
          <w:rFonts w:asciiTheme="majorHAnsi" w:eastAsia="Arial Narrow" w:hAnsiTheme="majorHAnsi" w:cstheme="majorHAnsi"/>
          <w:sz w:val="24"/>
          <w:szCs w:val="24"/>
        </w:rPr>
        <w:t xml:space="preserve"> cu cele personale. În acest mod, schimbarea identității nu va mai fi suficientă pentru protejarea martorilor întrucât parametrii faciali (necesari componentei facial </w:t>
      </w:r>
      <w:proofErr w:type="spellStart"/>
      <w:r w:rsidRPr="00AD2CCB">
        <w:rPr>
          <w:rFonts w:asciiTheme="majorHAnsi" w:eastAsia="Arial Narrow" w:hAnsiTheme="majorHAnsi" w:cstheme="majorHAnsi"/>
          <w:sz w:val="24"/>
          <w:szCs w:val="24"/>
        </w:rPr>
        <w:t>recognition</w:t>
      </w:r>
      <w:proofErr w:type="spellEnd"/>
      <w:r w:rsidRPr="00AD2CCB">
        <w:rPr>
          <w:rFonts w:asciiTheme="majorHAnsi" w:eastAsia="Arial Narrow" w:hAnsiTheme="majorHAnsi" w:cstheme="majorHAnsi"/>
          <w:sz w:val="24"/>
          <w:szCs w:val="24"/>
        </w:rPr>
        <w:t xml:space="preserve">), datele </w:t>
      </w:r>
      <w:proofErr w:type="spellStart"/>
      <w:r w:rsidRPr="00AD2CCB">
        <w:rPr>
          <w:rFonts w:asciiTheme="majorHAnsi" w:eastAsia="Arial Narrow" w:hAnsiTheme="majorHAnsi" w:cstheme="majorHAnsi"/>
          <w:sz w:val="24"/>
          <w:szCs w:val="24"/>
        </w:rPr>
        <w:t>digito</w:t>
      </w:r>
      <w:proofErr w:type="spellEnd"/>
      <w:r w:rsidRPr="00AD2CCB">
        <w:rPr>
          <w:rFonts w:asciiTheme="majorHAnsi" w:eastAsia="Arial Narrow" w:hAnsiTheme="majorHAnsi" w:cstheme="majorHAnsi"/>
          <w:sz w:val="24"/>
          <w:szCs w:val="24"/>
        </w:rPr>
        <w:t xml:space="preserve">-palmare (amprente) precum și orice alte informații similare sunt asociate datelor cu caracter personal. Astfel, în scenariul în care o persoană călătorește cu identitatea reală  cărei îi sunt corelate datele </w:t>
      </w:r>
      <w:proofErr w:type="spellStart"/>
      <w:r w:rsidRPr="00AD2CCB">
        <w:rPr>
          <w:rFonts w:asciiTheme="majorHAnsi" w:eastAsia="Arial Narrow" w:hAnsiTheme="majorHAnsi" w:cstheme="majorHAnsi"/>
          <w:sz w:val="24"/>
          <w:szCs w:val="24"/>
        </w:rPr>
        <w:t>biometrice</w:t>
      </w:r>
      <w:proofErr w:type="spellEnd"/>
      <w:r w:rsidRPr="00AD2CCB">
        <w:rPr>
          <w:rFonts w:asciiTheme="majorHAnsi" w:eastAsia="Arial Narrow" w:hAnsiTheme="majorHAnsi" w:cstheme="majorHAnsi"/>
          <w:sz w:val="24"/>
          <w:szCs w:val="24"/>
        </w:rPr>
        <w:t xml:space="preserve">, în cazul în care va intra în programul de protecție a martorilor și i se schimbă identitatea (deci numai datele cu caracter personal) și se prezintă la punctele de trecere a frontierei, noile sisteme informatice vor genera o alertă conform cărei datele personale nu se potrivesc cu cele </w:t>
      </w:r>
      <w:proofErr w:type="spellStart"/>
      <w:r w:rsidRPr="00AD2CCB">
        <w:rPr>
          <w:rFonts w:asciiTheme="majorHAnsi" w:eastAsia="Arial Narrow" w:hAnsiTheme="majorHAnsi" w:cstheme="majorHAnsi"/>
          <w:sz w:val="24"/>
          <w:szCs w:val="24"/>
        </w:rPr>
        <w:t>biometrice</w:t>
      </w:r>
      <w:proofErr w:type="spellEnd"/>
      <w:r w:rsidRPr="00AD2CCB">
        <w:rPr>
          <w:rFonts w:asciiTheme="majorHAnsi" w:eastAsia="Arial Narrow" w:hAnsiTheme="majorHAnsi" w:cstheme="majorHAnsi"/>
          <w:sz w:val="24"/>
          <w:szCs w:val="24"/>
        </w:rPr>
        <w:t xml:space="preserve">.     </w:t>
      </w:r>
    </w:p>
    <w:p w14:paraId="3A575BEB"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România va urmări și în continuare îmbunătățirea capacității de a asigura un </w:t>
      </w:r>
      <w:r w:rsidRPr="00AD2CCB">
        <w:rPr>
          <w:rFonts w:asciiTheme="majorHAnsi" w:eastAsia="Arial Narrow" w:hAnsiTheme="majorHAnsi" w:cstheme="majorHAnsi"/>
          <w:b/>
          <w:sz w:val="24"/>
          <w:szCs w:val="24"/>
        </w:rPr>
        <w:t>nivel înalt de securitate la frontiera externă a UE,</w:t>
      </w:r>
      <w:r w:rsidRPr="00AD2CCB">
        <w:rPr>
          <w:rFonts w:asciiTheme="majorHAnsi" w:eastAsia="Arial Narrow" w:hAnsiTheme="majorHAnsi" w:cstheme="majorHAnsi"/>
          <w:sz w:val="24"/>
          <w:szCs w:val="24"/>
        </w:rPr>
        <w:t xml:space="preserve"> precum și adoptarea şi implementarea politicilor comune în domeniu. De aceea este necesară continuarea eforturilor de utilizare a unor mecanisme eficiente de gestiune a resurselor umane, în vederea dezvoltării </w:t>
      </w:r>
      <w:proofErr w:type="spellStart"/>
      <w:r w:rsidRPr="00AD2CCB">
        <w:rPr>
          <w:rFonts w:asciiTheme="majorHAnsi" w:eastAsia="Arial Narrow" w:hAnsiTheme="majorHAnsi" w:cstheme="majorHAnsi"/>
          <w:sz w:val="24"/>
          <w:szCs w:val="24"/>
        </w:rPr>
        <w:t>competenţelor</w:t>
      </w:r>
      <w:proofErr w:type="spellEnd"/>
      <w:r w:rsidRPr="00AD2CCB">
        <w:rPr>
          <w:rFonts w:asciiTheme="majorHAnsi" w:eastAsia="Arial Narrow" w:hAnsiTheme="majorHAnsi" w:cstheme="majorHAnsi"/>
          <w:sz w:val="24"/>
          <w:szCs w:val="24"/>
        </w:rPr>
        <w:t xml:space="preserve"> şi </w:t>
      </w:r>
      <w:proofErr w:type="spellStart"/>
      <w:r w:rsidRPr="00AD2CCB">
        <w:rPr>
          <w:rFonts w:asciiTheme="majorHAnsi" w:eastAsia="Arial Narrow" w:hAnsiTheme="majorHAnsi" w:cstheme="majorHAnsi"/>
          <w:sz w:val="24"/>
          <w:szCs w:val="24"/>
        </w:rPr>
        <w:t>abilităţilor</w:t>
      </w:r>
      <w:proofErr w:type="spellEnd"/>
      <w:r w:rsidRPr="00AD2CCB">
        <w:rPr>
          <w:rFonts w:asciiTheme="majorHAnsi" w:eastAsia="Arial Narrow" w:hAnsiTheme="majorHAnsi" w:cstheme="majorHAnsi"/>
          <w:sz w:val="24"/>
          <w:szCs w:val="24"/>
        </w:rPr>
        <w:t xml:space="preserve"> personalului, continuarea sau dezvoltarea unor noi relații de cooperare cu structuri similare din </w:t>
      </w:r>
      <w:proofErr w:type="spellStart"/>
      <w:r w:rsidRPr="00AD2CCB">
        <w:rPr>
          <w:rFonts w:asciiTheme="majorHAnsi" w:eastAsia="Arial Narrow" w:hAnsiTheme="majorHAnsi" w:cstheme="majorHAnsi"/>
          <w:sz w:val="24"/>
          <w:szCs w:val="24"/>
        </w:rPr>
        <w:t>ţările</w:t>
      </w:r>
      <w:proofErr w:type="spellEnd"/>
      <w:r w:rsidRPr="00AD2CCB">
        <w:rPr>
          <w:rFonts w:asciiTheme="majorHAnsi" w:eastAsia="Arial Narrow" w:hAnsiTheme="majorHAnsi" w:cstheme="majorHAnsi"/>
          <w:sz w:val="24"/>
          <w:szCs w:val="24"/>
        </w:rPr>
        <w:t xml:space="preserve"> UE, de cooperare la Marea Neagră, dar şi cu diverse organisme şi </w:t>
      </w:r>
      <w:proofErr w:type="spellStart"/>
      <w:r w:rsidRPr="00AD2CCB">
        <w:rPr>
          <w:rFonts w:asciiTheme="majorHAnsi" w:eastAsia="Arial Narrow" w:hAnsiTheme="majorHAnsi" w:cstheme="majorHAnsi"/>
          <w:sz w:val="24"/>
          <w:szCs w:val="24"/>
        </w:rPr>
        <w:t>organizaţii</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internaţionale</w:t>
      </w:r>
      <w:proofErr w:type="spellEnd"/>
      <w:r w:rsidRPr="00AD2CCB">
        <w:rPr>
          <w:rFonts w:asciiTheme="majorHAnsi" w:eastAsia="Arial Narrow" w:hAnsiTheme="majorHAnsi" w:cstheme="majorHAnsi"/>
          <w:sz w:val="24"/>
          <w:szCs w:val="24"/>
        </w:rPr>
        <w:t xml:space="preserve"> cu </w:t>
      </w:r>
      <w:proofErr w:type="spellStart"/>
      <w:r w:rsidRPr="00AD2CCB">
        <w:rPr>
          <w:rFonts w:asciiTheme="majorHAnsi" w:eastAsia="Arial Narrow" w:hAnsiTheme="majorHAnsi" w:cstheme="majorHAnsi"/>
          <w:sz w:val="24"/>
          <w:szCs w:val="24"/>
        </w:rPr>
        <w:t>atribuţii</w:t>
      </w:r>
      <w:proofErr w:type="spellEnd"/>
      <w:r w:rsidRPr="00AD2CCB">
        <w:rPr>
          <w:rFonts w:asciiTheme="majorHAnsi" w:eastAsia="Arial Narrow" w:hAnsiTheme="majorHAnsi" w:cstheme="majorHAnsi"/>
          <w:sz w:val="24"/>
          <w:szCs w:val="24"/>
        </w:rPr>
        <w:t xml:space="preserve"> în domeniul managementului frontierei şi combaterii criminalității transfrontaliere (FRONTEX, EUROPOL, CEPOL, EUBAM, SELEC ș.a.).</w:t>
      </w:r>
    </w:p>
    <w:p w14:paraId="446E1F3C"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domeniul </w:t>
      </w:r>
      <w:r w:rsidRPr="00AD2CCB">
        <w:rPr>
          <w:rFonts w:asciiTheme="majorHAnsi" w:eastAsia="Arial" w:hAnsiTheme="majorHAnsi" w:cstheme="majorHAnsi"/>
          <w:b/>
          <w:sz w:val="24"/>
          <w:szCs w:val="24"/>
        </w:rPr>
        <w:t xml:space="preserve">protecției infrastructurilor critice, </w:t>
      </w:r>
      <w:r w:rsidRPr="00AD2CCB">
        <w:rPr>
          <w:rFonts w:asciiTheme="majorHAnsi" w:eastAsia="Arial Narrow" w:hAnsiTheme="majorHAnsi" w:cstheme="majorHAnsi"/>
          <w:sz w:val="24"/>
          <w:szCs w:val="24"/>
        </w:rPr>
        <w:t>Directiva 2008/114/CE a fost transpusă în legislația națională prin OUG 98/2010. Astfel, în România funcționează Centrul național de coordonare a protecției infrastructurilor critice care are responsabilitatea de a implementa un mecanism de comunicare și avertizare timpurie destinat asigurării managementului integrat al protecției ICN/ICE, cu rolul de sistem național securizat de informare în domeniul protecției ICN/ICE.</w:t>
      </w:r>
    </w:p>
    <w:p w14:paraId="4FB12AF8"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Acesta va asigura cadrul unitar al schimbului de informații privind incidente, amenințări, vulnerabilități și riscuri identificate în legătură cu aceste tipuri de infrastructuri, necesare atât în procesul de prevenție și combatere a riscurilor și amenințărilor, cât și pentru diminuarea impactului generat de incapacitatea de a menține serviciile esențiale furnizate de acestea.</w:t>
      </w:r>
    </w:p>
    <w:p w14:paraId="5ACA54B1"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În domeniul luptei</w:t>
      </w:r>
      <w:r w:rsidRPr="00AD2CCB">
        <w:rPr>
          <w:rFonts w:asciiTheme="majorHAnsi" w:eastAsia="Arial" w:hAnsiTheme="majorHAnsi" w:cstheme="majorHAnsi"/>
          <w:b/>
          <w:sz w:val="24"/>
          <w:szCs w:val="24"/>
        </w:rPr>
        <w:t xml:space="preserve"> anticorupție,</w:t>
      </w:r>
      <w:r w:rsidRPr="00AD2CCB">
        <w:rPr>
          <w:rFonts w:asciiTheme="majorHAnsi" w:eastAsia="Arial Narrow" w:hAnsiTheme="majorHAnsi" w:cstheme="majorHAnsi"/>
          <w:sz w:val="24"/>
          <w:szCs w:val="24"/>
        </w:rPr>
        <w:t xml:space="preserve"> așa cum se menționează și în fișa de țară, România va continua sa ofere un răspuns aplicat al solicitărilor UE formulate prin intermediul Raportul MCV care prevede ca “infracțiunile  de corupție să poată fi investigate și sancționate în mod eficace, cu respectarea deplină a drepturilor fundamentale, iar cetățenii să poată avea încredere în independența </w:t>
      </w:r>
      <w:r w:rsidRPr="00AD2CCB">
        <w:rPr>
          <w:rFonts w:asciiTheme="majorHAnsi" w:eastAsia="Arial Narrow" w:hAnsiTheme="majorHAnsi" w:cstheme="majorHAnsi"/>
          <w:sz w:val="24"/>
          <w:szCs w:val="24"/>
        </w:rPr>
        <w:lastRenderedPageBreak/>
        <w:t>sistemului judiciar”. În acest sens, Comisia sugerează “crearea unui sistem mai robust de măsuri de supraveghere tehnică utilizate de organele de urmărire penală”.</w:t>
      </w:r>
    </w:p>
    <w:p w14:paraId="1F1FFA0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În prezent, fenomenul </w:t>
      </w:r>
      <w:r w:rsidRPr="00AD2CCB">
        <w:rPr>
          <w:rFonts w:asciiTheme="majorHAnsi" w:eastAsia="Arial Narrow" w:hAnsiTheme="majorHAnsi" w:cstheme="majorHAnsi"/>
          <w:b/>
          <w:sz w:val="24"/>
          <w:szCs w:val="24"/>
        </w:rPr>
        <w:t>radicalizării și terorismul</w:t>
      </w:r>
      <w:r w:rsidRPr="00AD2CCB">
        <w:rPr>
          <w:rFonts w:asciiTheme="majorHAnsi" w:eastAsia="Arial Narrow" w:hAnsiTheme="majorHAnsi" w:cstheme="majorHAnsi"/>
          <w:sz w:val="24"/>
          <w:szCs w:val="24"/>
        </w:rPr>
        <w:t xml:space="preserve"> își găsesc inspirația într-o paletă vastă de ideologii, fiind contemporani unui trend ascendent al popularității curentelor extremiste, în rândul tinerilor, preponderent ale celor de extremă dreapta și extremist-islamice, concretizate în acțiuni violente sau acte teroriste. </w:t>
      </w:r>
    </w:p>
    <w:p w14:paraId="28C764FD"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Pornind de la personalitatea în formare a tinerilor, </w:t>
      </w:r>
      <w:proofErr w:type="spellStart"/>
      <w:r w:rsidRPr="00AD2CCB">
        <w:rPr>
          <w:rFonts w:asciiTheme="majorHAnsi" w:eastAsia="Arial Narrow" w:hAnsiTheme="majorHAnsi" w:cstheme="majorHAnsi"/>
          <w:sz w:val="24"/>
          <w:szCs w:val="24"/>
        </w:rPr>
        <w:t>entităţile</w:t>
      </w:r>
      <w:proofErr w:type="spellEnd"/>
      <w:r w:rsidRPr="00AD2CCB">
        <w:rPr>
          <w:rFonts w:asciiTheme="majorHAnsi" w:eastAsia="Arial Narrow" w:hAnsiTheme="majorHAnsi" w:cstheme="majorHAnsi"/>
          <w:sz w:val="24"/>
          <w:szCs w:val="24"/>
        </w:rPr>
        <w:t xml:space="preserve"> teroriste au creat și diseminat în spațiul virtual mesaje axate pe nevoile comune ale publicului țintă vizat, respectiv: apartenența, recunoașterea, identitatea. Astfel, chiar dacă în decurs de mai puțin de un an </w:t>
      </w:r>
      <w:proofErr w:type="spellStart"/>
      <w:r w:rsidRPr="00AD2CCB">
        <w:rPr>
          <w:rFonts w:asciiTheme="majorHAnsi" w:eastAsia="Arial Narrow" w:hAnsiTheme="majorHAnsi" w:cstheme="majorHAnsi"/>
          <w:sz w:val="24"/>
          <w:szCs w:val="24"/>
        </w:rPr>
        <w:t>Daesh</w:t>
      </w:r>
      <w:proofErr w:type="spellEnd"/>
      <w:r w:rsidRPr="00AD2CCB">
        <w:rPr>
          <w:rFonts w:asciiTheme="majorHAnsi" w:eastAsia="Arial Narrow" w:hAnsiTheme="majorHAnsi" w:cstheme="majorHAnsi"/>
          <w:sz w:val="24"/>
          <w:szCs w:val="24"/>
        </w:rPr>
        <w:t xml:space="preserve"> și-a pierdut atât liderul, cât și teritoriile controlate din Siria și Irak, acțiunile teroriste comise în numele organizației continuă să existe, urmare a impactului procesului propagandistic multiplicat în </w:t>
      </w:r>
      <w:proofErr w:type="spellStart"/>
      <w:r w:rsidRPr="00AD2CCB">
        <w:rPr>
          <w:rFonts w:asciiTheme="majorHAnsi" w:eastAsia="Arial Narrow" w:hAnsiTheme="majorHAnsi" w:cstheme="majorHAnsi"/>
          <w:sz w:val="24"/>
          <w:szCs w:val="24"/>
        </w:rPr>
        <w:t>spaţiul</w:t>
      </w:r>
      <w:proofErr w:type="spellEnd"/>
      <w:r w:rsidRPr="00AD2CCB">
        <w:rPr>
          <w:rFonts w:asciiTheme="majorHAnsi" w:eastAsia="Arial Narrow" w:hAnsiTheme="majorHAnsi" w:cstheme="majorHAnsi"/>
          <w:sz w:val="24"/>
          <w:szCs w:val="24"/>
        </w:rPr>
        <w:t xml:space="preserve"> online.</w:t>
      </w:r>
    </w:p>
    <w:p w14:paraId="047A0938"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Mediul virtual reprezintă mai mult decât oricând principala platformă unde adepții diverselor organizații/ mișcări radicale se reunesc, interacționează, se inspiră, conspiră și se activează pentru a comite acțiuni teroriste, combaterea extremismului on line fiind și una dintre prioritățile din Fișa de țară a României.</w:t>
      </w:r>
    </w:p>
    <w:p w14:paraId="58C04B83"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Măsurile preventive adoptate de Serviciul Român de </w:t>
      </w:r>
      <w:proofErr w:type="spellStart"/>
      <w:r w:rsidRPr="00AD2CCB">
        <w:rPr>
          <w:rFonts w:asciiTheme="majorHAnsi" w:eastAsia="Arial Narrow" w:hAnsiTheme="majorHAnsi" w:cstheme="majorHAnsi"/>
          <w:sz w:val="24"/>
          <w:szCs w:val="24"/>
        </w:rPr>
        <w:t>informaţii</w:t>
      </w:r>
      <w:proofErr w:type="spellEnd"/>
      <w:r w:rsidRPr="00AD2CCB">
        <w:rPr>
          <w:rFonts w:asciiTheme="majorHAnsi" w:eastAsia="Arial Narrow" w:hAnsiTheme="majorHAnsi" w:cstheme="majorHAnsi"/>
          <w:sz w:val="24"/>
          <w:szCs w:val="24"/>
        </w:rPr>
        <w:t xml:space="preserve">, în cooperare cu partenerii </w:t>
      </w:r>
      <w:proofErr w:type="spellStart"/>
      <w:r w:rsidRPr="00AD2CCB">
        <w:rPr>
          <w:rFonts w:asciiTheme="majorHAnsi" w:eastAsia="Arial Narrow" w:hAnsiTheme="majorHAnsi" w:cstheme="majorHAnsi"/>
          <w:sz w:val="24"/>
          <w:szCs w:val="24"/>
        </w:rPr>
        <w:t>instituţionali</w:t>
      </w:r>
      <w:proofErr w:type="spellEnd"/>
      <w:r w:rsidRPr="00AD2CCB">
        <w:rPr>
          <w:rFonts w:asciiTheme="majorHAnsi" w:eastAsia="Arial Narrow" w:hAnsiTheme="majorHAnsi" w:cstheme="majorHAnsi"/>
          <w:sz w:val="24"/>
          <w:szCs w:val="24"/>
        </w:rPr>
        <w:t xml:space="preserve"> din cadrul Sistemului Naţional de Prevenire şi Combatere a Terorismului au permis </w:t>
      </w:r>
      <w:proofErr w:type="spellStart"/>
      <w:r w:rsidRPr="00AD2CCB">
        <w:rPr>
          <w:rFonts w:asciiTheme="majorHAnsi" w:eastAsia="Arial Narrow" w:hAnsiTheme="majorHAnsi" w:cstheme="majorHAnsi"/>
          <w:sz w:val="24"/>
          <w:szCs w:val="24"/>
        </w:rPr>
        <w:t>menţinerea</w:t>
      </w:r>
      <w:proofErr w:type="spellEnd"/>
      <w:r w:rsidRPr="00AD2CCB">
        <w:rPr>
          <w:rFonts w:asciiTheme="majorHAnsi" w:eastAsia="Arial Narrow" w:hAnsiTheme="majorHAnsi" w:cstheme="majorHAnsi"/>
          <w:sz w:val="24"/>
          <w:szCs w:val="24"/>
        </w:rPr>
        <w:t xml:space="preserve"> nivelului actual de alertă teroristă (Albastru-Precaut).</w:t>
      </w:r>
    </w:p>
    <w:p w14:paraId="641DB3D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proofErr w:type="spellStart"/>
      <w:r w:rsidRPr="00AD2CCB">
        <w:rPr>
          <w:rFonts w:asciiTheme="majorHAnsi" w:eastAsia="Arial Narrow" w:hAnsiTheme="majorHAnsi" w:cstheme="majorHAnsi"/>
          <w:sz w:val="24"/>
          <w:szCs w:val="24"/>
        </w:rPr>
        <w:t>Evoluţia</w:t>
      </w:r>
      <w:proofErr w:type="spellEnd"/>
      <w:r w:rsidRPr="00AD2CCB">
        <w:rPr>
          <w:rFonts w:asciiTheme="majorHAnsi" w:eastAsia="Arial Narrow" w:hAnsiTheme="majorHAnsi" w:cstheme="majorHAnsi"/>
          <w:sz w:val="24"/>
          <w:szCs w:val="24"/>
        </w:rPr>
        <w:t xml:space="preserve"> </w:t>
      </w:r>
      <w:proofErr w:type="spellStart"/>
      <w:r w:rsidRPr="00AD2CCB">
        <w:rPr>
          <w:rFonts w:asciiTheme="majorHAnsi" w:eastAsia="Arial Narrow" w:hAnsiTheme="majorHAnsi" w:cstheme="majorHAnsi"/>
          <w:sz w:val="24"/>
          <w:szCs w:val="24"/>
        </w:rPr>
        <w:t>ameninţărilor</w:t>
      </w:r>
      <w:proofErr w:type="spellEnd"/>
      <w:r w:rsidRPr="00AD2CCB">
        <w:rPr>
          <w:rFonts w:asciiTheme="majorHAnsi" w:eastAsia="Arial Narrow" w:hAnsiTheme="majorHAnsi" w:cstheme="majorHAnsi"/>
          <w:sz w:val="24"/>
          <w:szCs w:val="24"/>
        </w:rPr>
        <w:t xml:space="preserve"> teroriste la adresa României au fost </w:t>
      </w:r>
      <w:proofErr w:type="spellStart"/>
      <w:r w:rsidRPr="00AD2CCB">
        <w:rPr>
          <w:rFonts w:asciiTheme="majorHAnsi" w:eastAsia="Arial Narrow" w:hAnsiTheme="majorHAnsi" w:cstheme="majorHAnsi"/>
          <w:sz w:val="24"/>
          <w:szCs w:val="24"/>
        </w:rPr>
        <w:t>influenţată</w:t>
      </w:r>
      <w:proofErr w:type="spellEnd"/>
      <w:r w:rsidRPr="00AD2CCB">
        <w:rPr>
          <w:rFonts w:asciiTheme="majorHAnsi" w:eastAsia="Arial Narrow" w:hAnsiTheme="majorHAnsi" w:cstheme="majorHAnsi"/>
          <w:sz w:val="24"/>
          <w:szCs w:val="24"/>
        </w:rPr>
        <w:t xml:space="preserve"> de:</w:t>
      </w:r>
    </w:p>
    <w:p w14:paraId="6288EB03"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manifestări din </w:t>
      </w:r>
      <w:proofErr w:type="spellStart"/>
      <w:r w:rsidRPr="00AD2CCB">
        <w:rPr>
          <w:rFonts w:asciiTheme="majorHAnsi" w:eastAsia="Arial Narrow" w:hAnsiTheme="majorHAnsi" w:cstheme="majorHAnsi"/>
          <w:sz w:val="24"/>
          <w:szCs w:val="24"/>
        </w:rPr>
        <w:t>spaţiile</w:t>
      </w:r>
      <w:proofErr w:type="spellEnd"/>
      <w:r w:rsidRPr="00AD2CCB">
        <w:rPr>
          <w:rFonts w:asciiTheme="majorHAnsi" w:eastAsia="Arial Narrow" w:hAnsiTheme="majorHAnsi" w:cstheme="majorHAnsi"/>
          <w:sz w:val="24"/>
          <w:szCs w:val="24"/>
        </w:rPr>
        <w:t xml:space="preserve"> cu problematică teroristă activă;</w:t>
      </w:r>
    </w:p>
    <w:p w14:paraId="39ACBCDD"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r>
      <w:proofErr w:type="spellStart"/>
      <w:r w:rsidRPr="00AD2CCB">
        <w:rPr>
          <w:rFonts w:asciiTheme="majorHAnsi" w:eastAsia="Arial Narrow" w:hAnsiTheme="majorHAnsi" w:cstheme="majorHAnsi"/>
          <w:sz w:val="24"/>
          <w:szCs w:val="24"/>
        </w:rPr>
        <w:t>evoluţiile</w:t>
      </w:r>
      <w:proofErr w:type="spellEnd"/>
      <w:r w:rsidRPr="00AD2CCB">
        <w:rPr>
          <w:rFonts w:asciiTheme="majorHAnsi" w:eastAsia="Arial Narrow" w:hAnsiTheme="majorHAnsi" w:cstheme="majorHAnsi"/>
          <w:sz w:val="24"/>
          <w:szCs w:val="24"/>
        </w:rPr>
        <w:t xml:space="preserve"> recente ale </w:t>
      </w:r>
      <w:proofErr w:type="spellStart"/>
      <w:r w:rsidRPr="00AD2CCB">
        <w:rPr>
          <w:rFonts w:asciiTheme="majorHAnsi" w:eastAsia="Arial Narrow" w:hAnsiTheme="majorHAnsi" w:cstheme="majorHAnsi"/>
          <w:sz w:val="24"/>
          <w:szCs w:val="24"/>
        </w:rPr>
        <w:t>jihadului</w:t>
      </w:r>
      <w:proofErr w:type="spellEnd"/>
      <w:r w:rsidRPr="00AD2CCB">
        <w:rPr>
          <w:rFonts w:asciiTheme="majorHAnsi" w:eastAsia="Arial Narrow" w:hAnsiTheme="majorHAnsi" w:cstheme="majorHAnsi"/>
          <w:sz w:val="24"/>
          <w:szCs w:val="24"/>
        </w:rPr>
        <w:t xml:space="preserve"> global ce au inclus teritoriul naţional pe harta </w:t>
      </w:r>
      <w:proofErr w:type="spellStart"/>
      <w:r w:rsidRPr="00AD2CCB">
        <w:rPr>
          <w:rFonts w:asciiTheme="majorHAnsi" w:eastAsia="Arial Narrow" w:hAnsiTheme="majorHAnsi" w:cstheme="majorHAnsi"/>
          <w:sz w:val="24"/>
          <w:szCs w:val="24"/>
        </w:rPr>
        <w:t>ţintelor</w:t>
      </w:r>
      <w:proofErr w:type="spellEnd"/>
      <w:r w:rsidRPr="00AD2CCB">
        <w:rPr>
          <w:rFonts w:asciiTheme="majorHAnsi" w:eastAsia="Arial Narrow" w:hAnsiTheme="majorHAnsi" w:cstheme="majorHAnsi"/>
          <w:sz w:val="24"/>
          <w:szCs w:val="24"/>
        </w:rPr>
        <w:t>;</w:t>
      </w:r>
    </w:p>
    <w:p w14:paraId="32D63DE8"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r>
      <w:proofErr w:type="spellStart"/>
      <w:r w:rsidRPr="00AD2CCB">
        <w:rPr>
          <w:rFonts w:asciiTheme="majorHAnsi" w:eastAsia="Arial Narrow" w:hAnsiTheme="majorHAnsi" w:cstheme="majorHAnsi"/>
          <w:sz w:val="24"/>
          <w:szCs w:val="24"/>
        </w:rPr>
        <w:t>percepţii</w:t>
      </w:r>
      <w:proofErr w:type="spellEnd"/>
      <w:r w:rsidRPr="00AD2CCB">
        <w:rPr>
          <w:rFonts w:asciiTheme="majorHAnsi" w:eastAsia="Arial Narrow" w:hAnsiTheme="majorHAnsi" w:cstheme="majorHAnsi"/>
          <w:sz w:val="24"/>
          <w:szCs w:val="24"/>
        </w:rPr>
        <w:t xml:space="preserve"> punctuale privind posibilitatea comiterii cu </w:t>
      </w:r>
      <w:proofErr w:type="spellStart"/>
      <w:r w:rsidRPr="00AD2CCB">
        <w:rPr>
          <w:rFonts w:asciiTheme="majorHAnsi" w:eastAsia="Arial Narrow" w:hAnsiTheme="majorHAnsi" w:cstheme="majorHAnsi"/>
          <w:sz w:val="24"/>
          <w:szCs w:val="24"/>
        </w:rPr>
        <w:t>uşurinţă</w:t>
      </w:r>
      <w:proofErr w:type="spellEnd"/>
      <w:r w:rsidRPr="00AD2CCB">
        <w:rPr>
          <w:rFonts w:asciiTheme="majorHAnsi" w:eastAsia="Arial Narrow" w:hAnsiTheme="majorHAnsi" w:cstheme="majorHAnsi"/>
          <w:sz w:val="24"/>
          <w:szCs w:val="24"/>
        </w:rPr>
        <w:t xml:space="preserve"> a unor </w:t>
      </w:r>
      <w:proofErr w:type="spellStart"/>
      <w:r w:rsidRPr="00AD2CCB">
        <w:rPr>
          <w:rFonts w:asciiTheme="majorHAnsi" w:eastAsia="Arial Narrow" w:hAnsiTheme="majorHAnsi" w:cstheme="majorHAnsi"/>
          <w:sz w:val="24"/>
          <w:szCs w:val="24"/>
        </w:rPr>
        <w:t>acţiuni</w:t>
      </w:r>
      <w:proofErr w:type="spellEnd"/>
      <w:r w:rsidRPr="00AD2CCB">
        <w:rPr>
          <w:rFonts w:asciiTheme="majorHAnsi" w:eastAsia="Arial Narrow" w:hAnsiTheme="majorHAnsi" w:cstheme="majorHAnsi"/>
          <w:sz w:val="24"/>
          <w:szCs w:val="24"/>
        </w:rPr>
        <w:t xml:space="preserve"> teroriste în România.</w:t>
      </w:r>
    </w:p>
    <w:p w14:paraId="6011BC07"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România își va concentra și în continuare eforturile în vederea apărării intereselor naționale de securitate și va urmări dezvoltarea capabilităților de pregătire a autorității naționale în domeniul prevenirii și combaterii terorismului în vederea eficientizării modului de răspuns sincronizat dintre structurile cu specializări diferite care execută misiunile de intervenție antiteroristă / contrateroristă.</w:t>
      </w:r>
    </w:p>
    <w:p w14:paraId="23675513"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 xml:space="preserve">Astfel, Programul Național FSI al României  va finanța următoarele măsuri de implementare: </w:t>
      </w:r>
    </w:p>
    <w:p w14:paraId="4E378F6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1.</w:t>
      </w:r>
      <w:r w:rsidRPr="00AD2CCB">
        <w:rPr>
          <w:rFonts w:asciiTheme="majorHAnsi" w:eastAsia="Arial Narrow" w:hAnsiTheme="majorHAnsi" w:cstheme="majorHAnsi"/>
          <w:sz w:val="24"/>
          <w:szCs w:val="24"/>
        </w:rPr>
        <w:tab/>
        <w:t xml:space="preserve">intensificarea activităților de formare, a exercițiilor, a învățării reciproce, a programelor de schimb specializate și a schimbului de bune practici în materie de aplicare a legii, inclusiv în țările terțe și împreună cu acestea și cu alți actori relevanți; </w:t>
      </w:r>
    </w:p>
    <w:p w14:paraId="4484F932"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2.</w:t>
      </w:r>
      <w:r w:rsidRPr="00AD2CCB">
        <w:rPr>
          <w:rFonts w:asciiTheme="majorHAnsi" w:eastAsia="Arial Narrow" w:hAnsiTheme="majorHAnsi" w:cstheme="majorHAnsi"/>
          <w:sz w:val="24"/>
          <w:szCs w:val="24"/>
        </w:rPr>
        <w:tab/>
        <w:t xml:space="preserve">exploatarea sinergiilor prin punerea în comun a resurselor și a cunoștințelor statelor membre și ale altor actori relevanți, inclusiv ale societății civile, de exemplu prin crearea unor centre de excelență comune, prin conceperea unor evaluări comune ale riscurilor sau prin crearea unor centre comune de sprijin operațional pentru operațiile desfășurate în comun; </w:t>
      </w:r>
    </w:p>
    <w:p w14:paraId="3C58D565"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3.</w:t>
      </w:r>
      <w:r w:rsidRPr="00AD2CCB">
        <w:rPr>
          <w:rFonts w:asciiTheme="majorHAnsi" w:eastAsia="Arial Narrow" w:hAnsiTheme="majorHAnsi" w:cstheme="majorHAnsi"/>
          <w:sz w:val="24"/>
          <w:szCs w:val="24"/>
        </w:rPr>
        <w:tab/>
        <w:t xml:space="preserve">promovarea și elaborarea unor măsuri, garanții, mecanisme și bune practici pentru identificarea rapidă, protejarea și sprijinirea martorilor, a denunțătorilor și a victimelor infracționalității, precum și crearea în acest scop a unor parteneriate între autoritățile publice și alți actori relevanți; </w:t>
      </w:r>
    </w:p>
    <w:p w14:paraId="36FF628D"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4.</w:t>
      </w:r>
      <w:r w:rsidRPr="00AD2CCB">
        <w:rPr>
          <w:rFonts w:asciiTheme="majorHAnsi" w:eastAsia="Arial Narrow" w:hAnsiTheme="majorHAnsi" w:cstheme="majorHAnsi"/>
          <w:sz w:val="24"/>
          <w:szCs w:val="24"/>
        </w:rPr>
        <w:tab/>
        <w:t>achiziționarea de echipamente relevante și instituirea sau modernizarea unor centre de formare specializată și a [...] infrastructurii relevante pentru securitate, în scopul îmbunătățirii gradului de pregătire, a rezilienței, a nivelului de conștientizare al publicului și a răspunsului adecvat la amenințările la adresa securității.</w:t>
      </w:r>
    </w:p>
    <w:p w14:paraId="7E749369"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Acțiunile avute în vedere în cadrul PN FSI sunt, în principal, următoarele:</w:t>
      </w:r>
    </w:p>
    <w:p w14:paraId="59481B54"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lastRenderedPageBreak/>
        <w:t>•</w:t>
      </w:r>
      <w:r w:rsidRPr="00AD2CCB">
        <w:rPr>
          <w:rFonts w:asciiTheme="majorHAnsi" w:eastAsia="Arial Narrow" w:hAnsiTheme="majorHAnsi" w:cstheme="majorHAnsi"/>
          <w:sz w:val="24"/>
          <w:szCs w:val="24"/>
        </w:rPr>
        <w:tab/>
        <w:t>sisteme și rețele TIC care contribuie la realizarea obiectivelor prezentului regulament, formarea cu privire la utilizarea acestor sisteme, testarea și îmbunătățirea interoperabilității și a calității datelor acestor sisteme;</w:t>
      </w:r>
    </w:p>
    <w:p w14:paraId="3E4D4CD8"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acțiuni care sprijină răspunsul eficace și coordonat la criză prin asigurarea unei legături între capacitățile sectoriale existente, centrele de expertiză și centrele de conștientizare cu privire la o anumită situație, inclusiv centrele pentru sănătate, protecție civilă și combaterea terorismului; </w:t>
      </w:r>
    </w:p>
    <w:p w14:paraId="3689C074"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proiecte care dezvoltă metode inovatoare sau utilizează noi tehnologii care ar putea fi transferate către alte state membre, în special proiecte care au drept obiectiv testarea și validarea rezultatelor proiectelor de cercetare în domeniul securității finanțate de Uniune; </w:t>
      </w:r>
    </w:p>
    <w:p w14:paraId="5DA8EEA4"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sprijin pentru crearea de rețele tematice sau transversale ale unităților naționale specializate în vederea îmbunătățirii încrederii reciproce, a schimbului și a diseminării de competențe și cunoștințe, de informații, de experiență și de bune practici, precum și a punerii în comun a resurselor și a expertizei în cadrul unor centre de excelență comune;</w:t>
      </w:r>
    </w:p>
    <w:p w14:paraId="34D7F4E0"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educația și formarea personalului și a experților din cadrul autorităților de aplicare a legii, al autorităților judiciare și al agențiilor administrative relevante, ținând seama de nevoile operaționale și de analizele riscurilor, [...] în cooperare cu CEPOL și, atunci când este cazul, cu Rețeaua Europeană de Formare Judiciară; </w:t>
      </w:r>
    </w:p>
    <w:p w14:paraId="5BDA1369"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cooperarea cu sectorul privat cu scopul de a consolida încrederea și a îmbunătăți coordonarea, planificarea de contingență, precum și schimbul și diseminarea de informații și bune practici între actorii din sectorul public și privat, inclusiv în ceea ce privește protecția spațiilor publice și a infrastructurii critice; </w:t>
      </w:r>
    </w:p>
    <w:p w14:paraId="58277B69"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acțiuni care permit comunităților să elaboreze abordări și politici de prevenire locale, precum și acțiuni de sensibilizare și comunicare, în rândul părților interesate și al publicului larg, cu privire la politicile de securitate ale Uniunii; </w:t>
      </w:r>
    </w:p>
    <w:p w14:paraId="7DB643EE"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AD2CCB">
        <w:rPr>
          <w:rFonts w:asciiTheme="majorHAnsi" w:eastAsia="Arial Narrow" w:hAnsiTheme="majorHAnsi" w:cstheme="majorHAnsi"/>
          <w:sz w:val="24"/>
          <w:szCs w:val="24"/>
        </w:rPr>
        <w:t>•</w:t>
      </w:r>
      <w:r w:rsidRPr="00AD2CCB">
        <w:rPr>
          <w:rFonts w:asciiTheme="majorHAnsi" w:eastAsia="Arial Narrow" w:hAnsiTheme="majorHAnsi" w:cstheme="majorHAnsi"/>
          <w:sz w:val="24"/>
          <w:szCs w:val="24"/>
        </w:rPr>
        <w:tab/>
        <w:t xml:space="preserve">echipamente, mijloace de transport, sisteme de comunicații și facilități [...] relevante pentru securitate; </w:t>
      </w:r>
    </w:p>
    <w:p w14:paraId="54590B07" w14:textId="77777777" w:rsidR="008D5733" w:rsidRPr="00AD2CCB" w:rsidRDefault="00AD2CCB" w:rsidP="00C34469">
      <w:pPr>
        <w:spacing w:after="120" w:line="240" w:lineRule="auto"/>
        <w:jc w:val="both"/>
        <w:rPr>
          <w:rFonts w:asciiTheme="majorHAnsi" w:eastAsia="Arial Narrow" w:hAnsiTheme="majorHAnsi" w:cstheme="majorHAnsi"/>
          <w:sz w:val="24"/>
          <w:szCs w:val="24"/>
        </w:rPr>
      </w:pPr>
      <w:r w:rsidRPr="002F4698">
        <w:rPr>
          <w:rFonts w:asciiTheme="majorHAnsi" w:eastAsia="Arial Narrow" w:hAnsiTheme="majorHAnsi" w:cstheme="majorHAnsi"/>
          <w:b/>
          <w:bCs/>
          <w:sz w:val="24"/>
          <w:szCs w:val="24"/>
        </w:rPr>
        <w:t>SPRIJIN OPERAȚIONAL</w:t>
      </w:r>
      <w:r w:rsidRPr="00AD2CCB">
        <w:rPr>
          <w:rFonts w:asciiTheme="majorHAnsi" w:eastAsia="Arial Narrow" w:hAnsiTheme="majorHAnsi" w:cstheme="majorHAnsi"/>
          <w:sz w:val="24"/>
          <w:szCs w:val="24"/>
        </w:rPr>
        <w:t xml:space="preserve">: În temeiul art. 15 România va solicita sprijin  operațional pentru întreținerea echipamentelor tehnice sau a mijloacelor de transport utilizate pentru acțiuni în domeniul prevenirii, al detectării și al investigării criminalității grave  și organizate cu dimensiune transfrontalieră. </w:t>
      </w:r>
    </w:p>
    <w:p w14:paraId="2E2911AF" w14:textId="5D712ECD" w:rsidR="008D5733" w:rsidRPr="00AD2CCB" w:rsidRDefault="00AD2CCB" w:rsidP="00C34469">
      <w:pPr>
        <w:spacing w:after="120" w:line="240" w:lineRule="auto"/>
        <w:jc w:val="both"/>
        <w:rPr>
          <w:rFonts w:asciiTheme="majorHAnsi" w:eastAsia="Arial Narrow" w:hAnsiTheme="majorHAnsi" w:cstheme="majorHAnsi"/>
          <w:i/>
          <w:sz w:val="24"/>
          <w:szCs w:val="24"/>
        </w:rPr>
      </w:pPr>
      <w:r w:rsidRPr="00AD2CCB">
        <w:rPr>
          <w:rFonts w:asciiTheme="majorHAnsi" w:eastAsia="Arial Narrow" w:hAnsiTheme="majorHAnsi" w:cstheme="majorHAnsi"/>
          <w:sz w:val="24"/>
          <w:szCs w:val="24"/>
        </w:rPr>
        <w:t xml:space="preserve">Beneficiari: Inspectoratul General al Poliției Române, care, în conformitate cu Legea nr. 218/2002, republicată, este instituția specializată a statului, care exercită atribuții privind apărarea drepturilor și libertăților fundamentale ale persoanei, a proprietății private și publice, prevenirea și descoperirea infracțiunilor (....). </w:t>
      </w:r>
    </w:p>
    <w:p w14:paraId="78983D6A" w14:textId="14419F81" w:rsidR="008D5733" w:rsidRDefault="008D5733" w:rsidP="001A230B">
      <w:pPr>
        <w:pStyle w:val="Heading3"/>
        <w:spacing w:after="120" w:line="240" w:lineRule="auto"/>
        <w:ind w:left="0" w:firstLine="0"/>
        <w:rPr>
          <w:rFonts w:asciiTheme="majorHAnsi" w:hAnsiTheme="majorHAnsi" w:cstheme="majorHAnsi"/>
        </w:rPr>
      </w:pPr>
      <w:bookmarkStart w:id="8" w:name="_ggft9ey6z5t" w:colFirst="0" w:colLast="0"/>
      <w:bookmarkEnd w:id="8"/>
    </w:p>
    <w:p w14:paraId="31CA1ACC" w14:textId="77777777" w:rsidR="001A230B" w:rsidRPr="004C0798" w:rsidRDefault="001A230B" w:rsidP="001A230B">
      <w:pPr>
        <w:pStyle w:val="Heading3"/>
        <w:spacing w:after="120" w:line="240" w:lineRule="auto"/>
        <w:ind w:left="0" w:firstLine="0"/>
        <w:rPr>
          <w:rFonts w:asciiTheme="majorHAnsi" w:hAnsiTheme="majorHAnsi" w:cstheme="majorHAnsi"/>
          <w:b w:val="0"/>
          <w:bCs/>
          <w:i/>
          <w:iCs/>
        </w:rPr>
      </w:pPr>
      <w:bookmarkStart w:id="9" w:name="_Hlk54804434"/>
      <w:r w:rsidRPr="004C0798">
        <w:rPr>
          <w:rFonts w:asciiTheme="majorHAnsi" w:hAnsiTheme="majorHAnsi" w:cstheme="majorHAnsi"/>
          <w:b w:val="0"/>
          <w:bCs/>
          <w:i/>
          <w:iCs/>
          <w:highlight w:val="lightGray"/>
        </w:rPr>
        <w:t>URMĂTOARELE SECȚIUNI VOR FI COMPLETATE ULTERIOR.</w:t>
      </w:r>
    </w:p>
    <w:bookmarkEnd w:id="9"/>
    <w:p w14:paraId="3172C79F" w14:textId="77777777" w:rsidR="001A230B" w:rsidRPr="004C0798" w:rsidRDefault="001A230B" w:rsidP="001A230B">
      <w:pPr>
        <w:spacing w:after="120" w:line="240" w:lineRule="auto"/>
        <w:rPr>
          <w:rFonts w:asciiTheme="majorHAnsi" w:hAnsiTheme="majorHAnsi" w:cstheme="majorHAnsi"/>
          <w:b/>
        </w:rPr>
      </w:pPr>
    </w:p>
    <w:p w14:paraId="1B60EB7E"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
    <w:p w14:paraId="7036F43F"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2.1.2 </w:t>
      </w:r>
      <w:proofErr w:type="spellStart"/>
      <w:r w:rsidRPr="004C0798">
        <w:rPr>
          <w:rFonts w:asciiTheme="majorHAnsi" w:hAnsiTheme="majorHAnsi" w:cstheme="majorHAnsi"/>
          <w:b/>
          <w:color w:val="808080" w:themeColor="background1" w:themeShade="80"/>
          <w:sz w:val="20"/>
          <w:szCs w:val="20"/>
        </w:rPr>
        <w:t>Indicators</w:t>
      </w:r>
      <w:proofErr w:type="spellEnd"/>
      <w:r w:rsidRPr="004C0798">
        <w:rPr>
          <w:rFonts w:asciiTheme="majorHAnsi" w:hAnsiTheme="majorHAnsi" w:cstheme="majorHAnsi"/>
          <w:b/>
          <w:color w:val="808080" w:themeColor="background1" w:themeShade="80"/>
          <w:sz w:val="20"/>
          <w:szCs w:val="20"/>
        </w:rPr>
        <w:t xml:space="preserve"> </w:t>
      </w:r>
    </w:p>
    <w:p w14:paraId="07450CED"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17(4)(e) CPR</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33"/>
        <w:gridCol w:w="1467"/>
        <w:gridCol w:w="1615"/>
        <w:gridCol w:w="1468"/>
        <w:gridCol w:w="2352"/>
      </w:tblGrid>
      <w:tr w:rsidR="001A230B" w:rsidRPr="004C0798" w14:paraId="46D7C097" w14:textId="77777777" w:rsidTr="00861438">
        <w:trPr>
          <w:trHeight w:val="425"/>
        </w:trPr>
        <w:tc>
          <w:tcPr>
            <w:tcW w:w="9075" w:type="dxa"/>
            <w:gridSpan w:val="6"/>
          </w:tcPr>
          <w:p w14:paraId="7F0D9345"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Table 1: Output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1A230B" w:rsidRPr="004C0798" w14:paraId="79EC64DC" w14:textId="77777777" w:rsidTr="00861438">
        <w:trPr>
          <w:trHeight w:val="656"/>
        </w:trPr>
        <w:tc>
          <w:tcPr>
            <w:tcW w:w="1440" w:type="dxa"/>
          </w:tcPr>
          <w:p w14:paraId="5E044AE1"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733" w:type="dxa"/>
          </w:tcPr>
          <w:p w14:paraId="65B97466"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1467" w:type="dxa"/>
            <w:shd w:val="clear" w:color="auto" w:fill="auto"/>
          </w:tcPr>
          <w:p w14:paraId="16B36505"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Indicator [255] </w:t>
            </w:r>
          </w:p>
        </w:tc>
        <w:tc>
          <w:tcPr>
            <w:tcW w:w="1615" w:type="dxa"/>
          </w:tcPr>
          <w:p w14:paraId="7B371CDF"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1468" w:type="dxa"/>
            <w:shd w:val="clear" w:color="auto" w:fill="auto"/>
          </w:tcPr>
          <w:p w14:paraId="0C5B8FBA"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Milestone</w:t>
            </w:r>
            <w:proofErr w:type="spellEnd"/>
            <w:r w:rsidRPr="004C0798">
              <w:rPr>
                <w:rFonts w:asciiTheme="majorHAnsi" w:hAnsiTheme="majorHAnsi" w:cstheme="majorHAnsi"/>
                <w:b/>
                <w:color w:val="808080" w:themeColor="background1" w:themeShade="80"/>
                <w:sz w:val="20"/>
                <w:szCs w:val="20"/>
              </w:rPr>
              <w:t xml:space="preserve"> (2024)</w:t>
            </w:r>
          </w:p>
        </w:tc>
        <w:tc>
          <w:tcPr>
            <w:tcW w:w="2352" w:type="dxa"/>
            <w:shd w:val="clear" w:color="auto" w:fill="auto"/>
          </w:tcPr>
          <w:p w14:paraId="2FA577A9"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r>
      <w:tr w:rsidR="001A230B" w:rsidRPr="004C0798" w14:paraId="25C4F311" w14:textId="77777777" w:rsidTr="00861438">
        <w:trPr>
          <w:trHeight w:val="300"/>
        </w:trPr>
        <w:tc>
          <w:tcPr>
            <w:tcW w:w="1440" w:type="dxa"/>
          </w:tcPr>
          <w:p w14:paraId="7CE63D49"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733" w:type="dxa"/>
          </w:tcPr>
          <w:p w14:paraId="27CA12F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467" w:type="dxa"/>
            <w:shd w:val="clear" w:color="auto" w:fill="auto"/>
          </w:tcPr>
          <w:p w14:paraId="0E46EB99"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615" w:type="dxa"/>
          </w:tcPr>
          <w:p w14:paraId="51C8F9D7"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468" w:type="dxa"/>
            <w:shd w:val="clear" w:color="auto" w:fill="auto"/>
          </w:tcPr>
          <w:p w14:paraId="26257BD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2352" w:type="dxa"/>
            <w:shd w:val="clear" w:color="auto" w:fill="auto"/>
          </w:tcPr>
          <w:p w14:paraId="070D56B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r>
    </w:tbl>
    <w:p w14:paraId="0FAD9052"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554"/>
        <w:gridCol w:w="971"/>
        <w:gridCol w:w="1176"/>
        <w:gridCol w:w="900"/>
        <w:gridCol w:w="971"/>
        <w:gridCol w:w="692"/>
        <w:gridCol w:w="969"/>
        <w:gridCol w:w="733"/>
        <w:gridCol w:w="1172"/>
      </w:tblGrid>
      <w:tr w:rsidR="001A230B" w:rsidRPr="004C0798" w14:paraId="0C90ECE5" w14:textId="77777777" w:rsidTr="00861438">
        <w:trPr>
          <w:trHeight w:val="480"/>
        </w:trPr>
        <w:tc>
          <w:tcPr>
            <w:tcW w:w="9075" w:type="dxa"/>
            <w:gridSpan w:val="10"/>
          </w:tcPr>
          <w:p w14:paraId="108655A9"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Table 2: </w:t>
            </w:r>
            <w:proofErr w:type="spellStart"/>
            <w:r w:rsidRPr="004C0798">
              <w:rPr>
                <w:rFonts w:asciiTheme="majorHAnsi" w:hAnsiTheme="majorHAnsi" w:cstheme="majorHAnsi"/>
                <w:b/>
                <w:color w:val="808080" w:themeColor="background1" w:themeShade="80"/>
                <w:sz w:val="20"/>
                <w:szCs w:val="20"/>
              </w:rPr>
              <w:t>Result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1A230B" w:rsidRPr="004C0798" w14:paraId="642EFBD6" w14:textId="77777777" w:rsidTr="00861438">
        <w:trPr>
          <w:trHeight w:val="675"/>
        </w:trPr>
        <w:tc>
          <w:tcPr>
            <w:tcW w:w="937" w:type="dxa"/>
          </w:tcPr>
          <w:p w14:paraId="2EDCBF05"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554" w:type="dxa"/>
          </w:tcPr>
          <w:p w14:paraId="6598F4A3"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971" w:type="dxa"/>
            <w:shd w:val="clear" w:color="auto" w:fill="auto"/>
          </w:tcPr>
          <w:p w14:paraId="37EDF88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Indicator [255]</w:t>
            </w:r>
          </w:p>
        </w:tc>
        <w:tc>
          <w:tcPr>
            <w:tcW w:w="1176" w:type="dxa"/>
          </w:tcPr>
          <w:p w14:paraId="3F64B27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900" w:type="dxa"/>
          </w:tcPr>
          <w:p w14:paraId="151FE530"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Baseline</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value</w:t>
            </w:r>
            <w:proofErr w:type="spellEnd"/>
          </w:p>
        </w:tc>
        <w:tc>
          <w:tcPr>
            <w:tcW w:w="971" w:type="dxa"/>
          </w:tcPr>
          <w:p w14:paraId="03A82760"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c>
        <w:tc>
          <w:tcPr>
            <w:tcW w:w="692" w:type="dxa"/>
            <w:shd w:val="clear" w:color="auto" w:fill="auto"/>
          </w:tcPr>
          <w:p w14:paraId="64FB458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c>
          <w:tcPr>
            <w:tcW w:w="969" w:type="dxa"/>
            <w:shd w:val="clear" w:color="auto" w:fill="auto"/>
          </w:tcPr>
          <w:p w14:paraId="16A7E421"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Measurement</w:t>
            </w:r>
            <w:proofErr w:type="spellEnd"/>
            <w:r w:rsidRPr="004C0798">
              <w:rPr>
                <w:rFonts w:asciiTheme="majorHAnsi" w:hAnsiTheme="majorHAnsi" w:cstheme="majorHAnsi"/>
                <w:b/>
                <w:i/>
                <w:color w:val="808080" w:themeColor="background1" w:themeShade="80"/>
                <w:sz w:val="20"/>
                <w:szCs w:val="20"/>
                <w:u w:val="single"/>
              </w:rPr>
              <w:t xml:space="preserve"> unit for </w:t>
            </w:r>
            <w:proofErr w:type="spellStart"/>
            <w:r w:rsidRPr="004C0798">
              <w:rPr>
                <w:rFonts w:asciiTheme="majorHAnsi" w:hAnsiTheme="majorHAnsi" w:cstheme="majorHAnsi"/>
                <w:b/>
                <w:i/>
                <w:color w:val="808080" w:themeColor="background1" w:themeShade="80"/>
                <w:sz w:val="20"/>
                <w:szCs w:val="20"/>
                <w:u w:val="single"/>
              </w:rPr>
              <w:t>target</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6"/>
            </w:r>
          </w:p>
        </w:tc>
        <w:tc>
          <w:tcPr>
            <w:tcW w:w="733" w:type="dxa"/>
            <w:shd w:val="clear" w:color="auto" w:fill="auto"/>
          </w:tcPr>
          <w:p w14:paraId="41E7786A"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Source</w:t>
            </w:r>
            <w:proofErr w:type="spellEnd"/>
            <w:r w:rsidRPr="004C0798">
              <w:rPr>
                <w:rFonts w:asciiTheme="majorHAnsi" w:hAnsiTheme="majorHAnsi" w:cstheme="majorHAnsi"/>
                <w:b/>
                <w:color w:val="808080" w:themeColor="background1" w:themeShade="80"/>
                <w:sz w:val="20"/>
                <w:szCs w:val="20"/>
              </w:rPr>
              <w:t xml:space="preserve"> of data [200]</w:t>
            </w:r>
          </w:p>
        </w:tc>
        <w:tc>
          <w:tcPr>
            <w:tcW w:w="1172" w:type="dxa"/>
          </w:tcPr>
          <w:p w14:paraId="68035DB6"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Comments</w:t>
            </w:r>
            <w:proofErr w:type="spellEnd"/>
            <w:r w:rsidRPr="004C0798">
              <w:rPr>
                <w:rFonts w:asciiTheme="majorHAnsi" w:hAnsiTheme="majorHAnsi" w:cstheme="majorHAnsi"/>
                <w:b/>
                <w:color w:val="808080" w:themeColor="background1" w:themeShade="80"/>
                <w:sz w:val="20"/>
                <w:szCs w:val="20"/>
              </w:rPr>
              <w:t xml:space="preserve"> [200]</w:t>
            </w:r>
          </w:p>
        </w:tc>
      </w:tr>
      <w:tr w:rsidR="001A230B" w:rsidRPr="004C0798" w14:paraId="410C1D89" w14:textId="77777777" w:rsidTr="00861438">
        <w:trPr>
          <w:trHeight w:val="398"/>
        </w:trPr>
        <w:tc>
          <w:tcPr>
            <w:tcW w:w="937" w:type="dxa"/>
          </w:tcPr>
          <w:p w14:paraId="79803015"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554" w:type="dxa"/>
          </w:tcPr>
          <w:p w14:paraId="45C192AF"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71" w:type="dxa"/>
            <w:shd w:val="clear" w:color="auto" w:fill="auto"/>
          </w:tcPr>
          <w:p w14:paraId="2E25238F"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1176" w:type="dxa"/>
          </w:tcPr>
          <w:p w14:paraId="61D1F293"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00" w:type="dxa"/>
          </w:tcPr>
          <w:p w14:paraId="4E53D222"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71" w:type="dxa"/>
          </w:tcPr>
          <w:p w14:paraId="00B14F4D"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
        </w:tc>
        <w:tc>
          <w:tcPr>
            <w:tcW w:w="692" w:type="dxa"/>
            <w:shd w:val="clear" w:color="auto" w:fill="auto"/>
          </w:tcPr>
          <w:p w14:paraId="2D3BF47F" w14:textId="77777777" w:rsidR="001A230B" w:rsidRPr="004C0798" w:rsidRDefault="001A230B" w:rsidP="00861438">
            <w:pPr>
              <w:pBdr>
                <w:top w:val="nil"/>
                <w:left w:val="nil"/>
                <w:bottom w:val="nil"/>
                <w:right w:val="nil"/>
                <w:between w:val="nil"/>
              </w:pBdr>
              <w:spacing w:after="120" w:line="240" w:lineRule="auto"/>
              <w:jc w:val="center"/>
              <w:rPr>
                <w:rFonts w:asciiTheme="majorHAnsi" w:hAnsiTheme="majorHAnsi" w:cstheme="majorHAnsi"/>
                <w:b/>
                <w:color w:val="808080" w:themeColor="background1" w:themeShade="80"/>
                <w:sz w:val="20"/>
                <w:szCs w:val="20"/>
              </w:rPr>
            </w:pPr>
          </w:p>
        </w:tc>
        <w:tc>
          <w:tcPr>
            <w:tcW w:w="969" w:type="dxa"/>
            <w:shd w:val="clear" w:color="auto" w:fill="auto"/>
          </w:tcPr>
          <w:p w14:paraId="701F7677" w14:textId="77777777" w:rsidR="001A230B" w:rsidRPr="004C0798" w:rsidRDefault="001A230B" w:rsidP="00861438">
            <w:pPr>
              <w:pBdr>
                <w:top w:val="nil"/>
                <w:left w:val="nil"/>
                <w:bottom w:val="nil"/>
                <w:right w:val="nil"/>
                <w:between w:val="nil"/>
              </w:pBdr>
              <w:spacing w:after="120" w:line="240" w:lineRule="auto"/>
              <w:jc w:val="center"/>
              <w:rPr>
                <w:rFonts w:asciiTheme="majorHAnsi" w:hAnsiTheme="majorHAnsi" w:cstheme="majorHAnsi"/>
                <w:b/>
                <w:color w:val="808080" w:themeColor="background1" w:themeShade="80"/>
                <w:sz w:val="20"/>
                <w:szCs w:val="20"/>
              </w:rPr>
            </w:pPr>
          </w:p>
        </w:tc>
        <w:tc>
          <w:tcPr>
            <w:tcW w:w="733" w:type="dxa"/>
            <w:shd w:val="clear" w:color="auto" w:fill="auto"/>
          </w:tcPr>
          <w:p w14:paraId="02109FC5"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1172" w:type="dxa"/>
          </w:tcPr>
          <w:p w14:paraId="52CDED0E"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bl>
    <w:p w14:paraId="08D5ED62" w14:textId="77777777" w:rsidR="001A230B" w:rsidRPr="004C0798" w:rsidRDefault="001A230B" w:rsidP="001A230B">
      <w:pPr>
        <w:keepNext/>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2.1.3 Indicative </w:t>
      </w:r>
      <w:proofErr w:type="spellStart"/>
      <w:r w:rsidRPr="004C0798">
        <w:rPr>
          <w:rFonts w:asciiTheme="majorHAnsi" w:hAnsiTheme="majorHAnsi" w:cstheme="majorHAnsi"/>
          <w:b/>
          <w:color w:val="808080" w:themeColor="background1" w:themeShade="80"/>
          <w:sz w:val="20"/>
          <w:szCs w:val="20"/>
        </w:rPr>
        <w:t>breakdown</w:t>
      </w:r>
      <w:proofErr w:type="spellEnd"/>
      <w:r w:rsidRPr="004C0798">
        <w:rPr>
          <w:rFonts w:asciiTheme="majorHAnsi" w:hAnsiTheme="majorHAnsi" w:cstheme="majorHAnsi"/>
          <w:b/>
          <w:color w:val="808080" w:themeColor="background1" w:themeShade="80"/>
          <w:sz w:val="20"/>
          <w:szCs w:val="20"/>
        </w:rPr>
        <w:t xml:space="preserve"> of the </w:t>
      </w: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resources</w:t>
      </w:r>
      <w:proofErr w:type="spellEnd"/>
      <w:r w:rsidRPr="004C0798">
        <w:rPr>
          <w:rFonts w:asciiTheme="majorHAnsi" w:hAnsiTheme="majorHAnsi" w:cstheme="majorHAnsi"/>
          <w:b/>
          <w:color w:val="808080" w:themeColor="background1" w:themeShade="80"/>
          <w:sz w:val="20"/>
          <w:szCs w:val="20"/>
        </w:rPr>
        <w:t xml:space="preserve"> (EU)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intervention</w:t>
      </w:r>
      <w:proofErr w:type="spellEnd"/>
      <w:r w:rsidRPr="004C0798">
        <w:rPr>
          <w:rFonts w:asciiTheme="majorHAnsi" w:hAnsiTheme="majorHAnsi" w:cstheme="majorHAnsi"/>
          <w:b/>
          <w:color w:val="808080" w:themeColor="background1" w:themeShade="80"/>
          <w:sz w:val="20"/>
          <w:szCs w:val="20"/>
        </w:rPr>
        <w:t xml:space="preserve"> </w:t>
      </w:r>
    </w:p>
    <w:p w14:paraId="12008F90"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17(5) CPR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12(15) of the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12(9)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13(9) AMIF </w:t>
      </w:r>
      <w:proofErr w:type="spellStart"/>
      <w:r w:rsidRPr="004C0798">
        <w:rPr>
          <w:rFonts w:asciiTheme="majorHAnsi" w:hAnsiTheme="majorHAnsi" w:cstheme="majorHAnsi"/>
          <w:i/>
          <w:color w:val="808080" w:themeColor="background1" w:themeShade="80"/>
          <w:sz w:val="20"/>
          <w:szCs w:val="20"/>
        </w:rPr>
        <w:t>Regulation</w:t>
      </w:r>
      <w:proofErr w:type="spellEnd"/>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2180"/>
        <w:gridCol w:w="1134"/>
        <w:gridCol w:w="3935"/>
      </w:tblGrid>
      <w:tr w:rsidR="001A230B" w:rsidRPr="004C0798" w14:paraId="4A404826" w14:textId="77777777" w:rsidTr="00861438">
        <w:trPr>
          <w:trHeight w:val="315"/>
        </w:trPr>
        <w:tc>
          <w:tcPr>
            <w:tcW w:w="9322" w:type="dxa"/>
            <w:gridSpan w:val="4"/>
          </w:tcPr>
          <w:p w14:paraId="3A903B50"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Table 3</w:t>
            </w:r>
          </w:p>
        </w:tc>
      </w:tr>
      <w:tr w:rsidR="001A230B" w:rsidRPr="004C0798" w14:paraId="7430270D" w14:textId="77777777" w:rsidTr="00861438">
        <w:tc>
          <w:tcPr>
            <w:tcW w:w="2073" w:type="dxa"/>
          </w:tcPr>
          <w:p w14:paraId="1F1CBCB6"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2180" w:type="dxa"/>
          </w:tcPr>
          <w:p w14:paraId="2C8062F7"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5461773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3A268E5C"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1A230B" w:rsidRPr="004C0798" w14:paraId="7F196402" w14:textId="77777777" w:rsidTr="00861438">
        <w:tc>
          <w:tcPr>
            <w:tcW w:w="2073" w:type="dxa"/>
          </w:tcPr>
          <w:p w14:paraId="7657106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180" w:type="dxa"/>
          </w:tcPr>
          <w:p w14:paraId="051E762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34" w:type="dxa"/>
          </w:tcPr>
          <w:p w14:paraId="7CA6709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3935" w:type="dxa"/>
          </w:tcPr>
          <w:p w14:paraId="1839DE7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0C1E9192"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p w14:paraId="0BC356CC" w14:textId="77777777" w:rsidR="001A230B" w:rsidRPr="004C0798" w:rsidRDefault="001A230B" w:rsidP="001A230B">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2.1.4</w:t>
      </w:r>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Technical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assistance</w:t>
      </w:r>
      <w:proofErr w:type="spellEnd"/>
      <w:r w:rsidRPr="004C0798">
        <w:rPr>
          <w:rFonts w:asciiTheme="majorHAnsi" w:hAnsiTheme="majorHAnsi" w:cstheme="majorHAnsi"/>
          <w:b/>
          <w:color w:val="808080" w:themeColor="background1" w:themeShade="80"/>
          <w:sz w:val="20"/>
          <w:szCs w:val="20"/>
        </w:rPr>
        <w:t xml:space="preserve"> </w:t>
      </w:r>
    </w:p>
    <w:p w14:paraId="5FE591E5" w14:textId="77777777" w:rsidR="001A230B" w:rsidRPr="004C0798" w:rsidRDefault="001A230B" w:rsidP="001A230B">
      <w:pPr>
        <w:spacing w:after="120" w:line="240" w:lineRule="auto"/>
        <w:rPr>
          <w:rFonts w:asciiTheme="majorHAnsi" w:hAnsiTheme="majorHAnsi" w:cstheme="majorHAnsi"/>
          <w:b/>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1A230B" w:rsidRPr="004C0798" w14:paraId="74A19CC3" w14:textId="77777777" w:rsidTr="00861438">
        <w:tc>
          <w:tcPr>
            <w:tcW w:w="9288" w:type="dxa"/>
          </w:tcPr>
          <w:p w14:paraId="051AEA7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[5 000]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w:t>
            </w:r>
          </w:p>
        </w:tc>
      </w:tr>
      <w:tr w:rsidR="001A230B" w:rsidRPr="004C0798" w14:paraId="0266C5B7" w14:textId="77777777" w:rsidTr="00861438">
        <w:tc>
          <w:tcPr>
            <w:tcW w:w="9288" w:type="dxa"/>
          </w:tcPr>
          <w:p w14:paraId="7707D44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[3000]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r>
    </w:tbl>
    <w:p w14:paraId="3BBBB9F3"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134"/>
        <w:gridCol w:w="3935"/>
      </w:tblGrid>
      <w:tr w:rsidR="001A230B" w:rsidRPr="004C0798" w14:paraId="4EA4181E" w14:textId="77777777" w:rsidTr="00861438">
        <w:trPr>
          <w:trHeight w:val="315"/>
        </w:trPr>
        <w:tc>
          <w:tcPr>
            <w:tcW w:w="9322" w:type="dxa"/>
            <w:gridSpan w:val="3"/>
          </w:tcPr>
          <w:p w14:paraId="2BD96929"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4</w:t>
            </w:r>
          </w:p>
        </w:tc>
      </w:tr>
      <w:tr w:rsidR="001A230B" w:rsidRPr="004C0798" w14:paraId="50D3B8FD" w14:textId="77777777" w:rsidTr="00861438">
        <w:tc>
          <w:tcPr>
            <w:tcW w:w="4253" w:type="dxa"/>
          </w:tcPr>
          <w:p w14:paraId="083E2905"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53B84A6E"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600C3ED7"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1A230B" w:rsidRPr="004C0798" w14:paraId="5188BAFF" w14:textId="77777777" w:rsidTr="00861438">
        <w:tc>
          <w:tcPr>
            <w:tcW w:w="4253" w:type="dxa"/>
          </w:tcPr>
          <w:p w14:paraId="656C978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34" w:type="dxa"/>
          </w:tcPr>
          <w:p w14:paraId="11FEEDA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3935" w:type="dxa"/>
          </w:tcPr>
          <w:p w14:paraId="7BF06CB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057A99CA"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
    <w:p w14:paraId="4B6A82FE"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Financial plan</w:t>
      </w:r>
    </w:p>
    <w:p w14:paraId="50303558"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17(3)(f)</w:t>
      </w:r>
    </w:p>
    <w:p w14:paraId="647B6076" w14:textId="77777777" w:rsidR="001A230B" w:rsidRPr="004C0798" w:rsidRDefault="001A230B" w:rsidP="001A230B">
      <w:pPr>
        <w:spacing w:after="120" w:line="240" w:lineRule="auto"/>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3.1. Financial </w:t>
      </w:r>
      <w:proofErr w:type="spellStart"/>
      <w:r w:rsidRPr="004C0798">
        <w:rPr>
          <w:rFonts w:asciiTheme="majorHAnsi" w:hAnsiTheme="majorHAnsi" w:cstheme="majorHAnsi"/>
          <w:b/>
          <w:color w:val="808080" w:themeColor="background1" w:themeShade="80"/>
          <w:sz w:val="20"/>
          <w:szCs w:val="20"/>
        </w:rPr>
        <w:t>appropriations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6"/>
        <w:gridCol w:w="1036"/>
        <w:gridCol w:w="1036"/>
        <w:gridCol w:w="1035"/>
        <w:gridCol w:w="1036"/>
        <w:gridCol w:w="1036"/>
        <w:gridCol w:w="1036"/>
        <w:gridCol w:w="1603"/>
      </w:tblGrid>
      <w:tr w:rsidR="001A230B" w:rsidRPr="004C0798" w14:paraId="19CBA6CE" w14:textId="77777777" w:rsidTr="00861438">
        <w:tc>
          <w:tcPr>
            <w:tcW w:w="9889" w:type="dxa"/>
            <w:gridSpan w:val="9"/>
          </w:tcPr>
          <w:p w14:paraId="6C30737E"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5</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Financial </w:t>
            </w:r>
            <w:proofErr w:type="spellStart"/>
            <w:r w:rsidRPr="004C0798">
              <w:rPr>
                <w:rFonts w:asciiTheme="majorHAnsi" w:eastAsia="Times New Roman" w:hAnsiTheme="majorHAnsi" w:cstheme="majorHAnsi"/>
                <w:b/>
                <w:i/>
                <w:color w:val="808080" w:themeColor="background1" w:themeShade="80"/>
                <w:sz w:val="20"/>
                <w:szCs w:val="20"/>
              </w:rPr>
              <w:t>appropriations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year</w:t>
            </w:r>
            <w:proofErr w:type="spellEnd"/>
          </w:p>
        </w:tc>
      </w:tr>
      <w:tr w:rsidR="001A230B" w:rsidRPr="004C0798" w14:paraId="2DD492B9" w14:textId="77777777" w:rsidTr="00861438">
        <w:tc>
          <w:tcPr>
            <w:tcW w:w="1035" w:type="dxa"/>
          </w:tcPr>
          <w:p w14:paraId="34CAF465"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Fund</w:t>
            </w:r>
          </w:p>
        </w:tc>
        <w:tc>
          <w:tcPr>
            <w:tcW w:w="1036" w:type="dxa"/>
          </w:tcPr>
          <w:p w14:paraId="690E8C13"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1036" w:type="dxa"/>
          </w:tcPr>
          <w:p w14:paraId="6E20966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1036" w:type="dxa"/>
          </w:tcPr>
          <w:p w14:paraId="73361380"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1035" w:type="dxa"/>
          </w:tcPr>
          <w:p w14:paraId="7C9716E6"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1036" w:type="dxa"/>
          </w:tcPr>
          <w:p w14:paraId="4B566A11"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1036" w:type="dxa"/>
          </w:tcPr>
          <w:p w14:paraId="4D2FF966"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1036" w:type="dxa"/>
          </w:tcPr>
          <w:p w14:paraId="447F951F"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c>
          <w:tcPr>
            <w:tcW w:w="1603" w:type="dxa"/>
          </w:tcPr>
          <w:p w14:paraId="6D88A2A5"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tc>
      </w:tr>
      <w:tr w:rsidR="001A230B" w:rsidRPr="004C0798" w14:paraId="719B91E5" w14:textId="77777777" w:rsidTr="00861438">
        <w:tc>
          <w:tcPr>
            <w:tcW w:w="1035" w:type="dxa"/>
          </w:tcPr>
          <w:p w14:paraId="4F0D839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547D530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66E6147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23AC27E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5" w:type="dxa"/>
          </w:tcPr>
          <w:p w14:paraId="1E83500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2EA24CE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236DE9E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4AB3198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603" w:type="dxa"/>
          </w:tcPr>
          <w:p w14:paraId="53E775B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7838E2AB"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p w14:paraId="395CAA4A" w14:textId="77777777" w:rsidR="001A230B" w:rsidRPr="004C0798" w:rsidRDefault="001A230B" w:rsidP="001A230B">
      <w:pPr>
        <w:spacing w:after="120" w:line="240" w:lineRule="auto"/>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3.2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allocations</w:t>
      </w:r>
      <w:proofErr w:type="spellEnd"/>
      <w:r w:rsidRPr="004C0798">
        <w:rPr>
          <w:rFonts w:asciiTheme="majorHAnsi" w:hAnsiTheme="majorHAnsi" w:cstheme="majorHAnsi"/>
          <w:b/>
          <w:color w:val="808080" w:themeColor="background1" w:themeShade="80"/>
          <w:sz w:val="20"/>
          <w:szCs w:val="20"/>
          <w:u w:val="single"/>
        </w:rPr>
        <w:t xml:space="preserve"> </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1892"/>
        <w:gridCol w:w="1121"/>
        <w:gridCol w:w="1070"/>
        <w:gridCol w:w="1088"/>
        <w:gridCol w:w="880"/>
        <w:gridCol w:w="866"/>
        <w:gridCol w:w="852"/>
        <w:gridCol w:w="937"/>
      </w:tblGrid>
      <w:tr w:rsidR="001A230B" w:rsidRPr="004C0798" w14:paraId="49457A4F" w14:textId="77777777" w:rsidTr="00861438">
        <w:trPr>
          <w:trHeight w:val="471"/>
          <w:jc w:val="center"/>
        </w:trPr>
        <w:tc>
          <w:tcPr>
            <w:tcW w:w="9628" w:type="dxa"/>
            <w:gridSpan w:val="9"/>
          </w:tcPr>
          <w:p w14:paraId="32FDAF93"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6:</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Total </w:t>
            </w:r>
            <w:proofErr w:type="spellStart"/>
            <w:r w:rsidRPr="004C0798">
              <w:rPr>
                <w:rFonts w:asciiTheme="majorHAnsi" w:eastAsia="Times New Roman" w:hAnsiTheme="majorHAnsi" w:cstheme="majorHAnsi"/>
                <w:b/>
                <w:i/>
                <w:color w:val="808080" w:themeColor="background1" w:themeShade="80"/>
                <w:sz w:val="20"/>
                <w:szCs w:val="20"/>
              </w:rPr>
              <w:t>financial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allocations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fund </w:t>
            </w:r>
            <w:proofErr w:type="spellStart"/>
            <w:r w:rsidRPr="004C0798">
              <w:rPr>
                <w:rFonts w:asciiTheme="majorHAnsi" w:eastAsia="Times New Roman" w:hAnsiTheme="majorHAnsi" w:cstheme="majorHAnsi"/>
                <w:b/>
                <w:i/>
                <w:color w:val="808080" w:themeColor="background1" w:themeShade="80"/>
                <w:sz w:val="20"/>
                <w:szCs w:val="20"/>
              </w:rPr>
              <w:t>and</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national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contribution</w:t>
            </w:r>
            <w:proofErr w:type="spellEnd"/>
          </w:p>
        </w:tc>
      </w:tr>
      <w:tr w:rsidR="001A230B" w:rsidRPr="004C0798" w14:paraId="14A621C8" w14:textId="77777777" w:rsidTr="00861438">
        <w:trPr>
          <w:trHeight w:val="875"/>
          <w:jc w:val="center"/>
        </w:trPr>
        <w:tc>
          <w:tcPr>
            <w:tcW w:w="922" w:type="dxa"/>
            <w:vMerge w:val="restart"/>
          </w:tcPr>
          <w:p w14:paraId="097215B9"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p>
          <w:p w14:paraId="78B818B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892" w:type="dxa"/>
            <w:vMerge w:val="restart"/>
          </w:tcPr>
          <w:p w14:paraId="4998513C"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p w14:paraId="73714C47"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action</w:t>
            </w:r>
            <w:proofErr w:type="spellEnd"/>
          </w:p>
        </w:tc>
        <w:tc>
          <w:tcPr>
            <w:tcW w:w="1121" w:type="dxa"/>
            <w:vMerge w:val="restart"/>
          </w:tcPr>
          <w:p w14:paraId="5C8825B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Basis</w:t>
            </w:r>
            <w:proofErr w:type="spellEnd"/>
            <w:r w:rsidRPr="004C0798">
              <w:rPr>
                <w:rFonts w:asciiTheme="majorHAnsi" w:eastAsia="Times New Roman" w:hAnsiTheme="majorHAnsi" w:cstheme="majorHAnsi"/>
                <w:b/>
                <w:color w:val="808080" w:themeColor="background1" w:themeShade="80"/>
                <w:sz w:val="20"/>
                <w:szCs w:val="20"/>
              </w:rPr>
              <w:t xml:space="preserve"> for </w:t>
            </w:r>
            <w:proofErr w:type="spellStart"/>
            <w:r w:rsidRPr="004C0798">
              <w:rPr>
                <w:rFonts w:asciiTheme="majorHAnsi" w:eastAsia="Times New Roman" w:hAnsiTheme="majorHAnsi" w:cstheme="majorHAnsi"/>
                <w:b/>
                <w:color w:val="808080" w:themeColor="background1" w:themeShade="80"/>
                <w:sz w:val="20"/>
                <w:szCs w:val="20"/>
              </w:rPr>
              <w:t>calculation</w:t>
            </w:r>
            <w:proofErr w:type="spellEnd"/>
            <w:r w:rsidRPr="004C0798">
              <w:rPr>
                <w:rFonts w:asciiTheme="majorHAnsi" w:eastAsia="Times New Roman" w:hAnsiTheme="majorHAnsi" w:cstheme="majorHAnsi"/>
                <w:b/>
                <w:color w:val="808080" w:themeColor="background1" w:themeShade="80"/>
                <w:sz w:val="20"/>
                <w:szCs w:val="20"/>
              </w:rPr>
              <w:t xml:space="preserve"> EU </w:t>
            </w:r>
            <w:proofErr w:type="spellStart"/>
            <w:r w:rsidRPr="004C0798">
              <w:rPr>
                <w:rFonts w:asciiTheme="majorHAnsi" w:eastAsia="Times New Roman" w:hAnsiTheme="majorHAnsi" w:cstheme="majorHAnsi"/>
                <w:b/>
                <w:color w:val="808080" w:themeColor="background1" w:themeShade="80"/>
                <w:sz w:val="20"/>
                <w:szCs w:val="20"/>
              </w:rPr>
              <w:t>support</w:t>
            </w:r>
            <w:proofErr w:type="spellEnd"/>
            <w:r w:rsidRPr="004C0798">
              <w:rPr>
                <w:rFonts w:asciiTheme="majorHAnsi" w:eastAsia="Times New Roman" w:hAnsiTheme="majorHAnsi" w:cstheme="majorHAnsi"/>
                <w:b/>
                <w:color w:val="808080" w:themeColor="background1" w:themeShade="80"/>
                <w:sz w:val="20"/>
                <w:szCs w:val="20"/>
              </w:rPr>
              <w:t xml:space="preserve"> (total or public)</w:t>
            </w:r>
          </w:p>
        </w:tc>
        <w:tc>
          <w:tcPr>
            <w:tcW w:w="1070" w:type="dxa"/>
            <w:vMerge w:val="restart"/>
          </w:tcPr>
          <w:p w14:paraId="6E1AF8B3"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i/>
                <w:strike/>
                <w:color w:val="808080" w:themeColor="background1" w:themeShade="80"/>
                <w:sz w:val="20"/>
                <w:szCs w:val="20"/>
                <w:u w:val="single"/>
              </w:rPr>
              <w:t>EU</w:t>
            </w:r>
            <w:r w:rsidRPr="004C0798">
              <w:rPr>
                <w:rFonts w:asciiTheme="majorHAnsi" w:eastAsia="Times New Roman" w:hAnsiTheme="majorHAnsi" w:cstheme="majorHAnsi"/>
                <w:b/>
                <w:i/>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u w:val="single"/>
              </w:rPr>
              <w:t>Union</w:t>
            </w:r>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(a)</w:t>
            </w:r>
          </w:p>
          <w:p w14:paraId="1BC3DF78"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88" w:type="dxa"/>
            <w:vMerge w:val="restart"/>
          </w:tcPr>
          <w:p w14:paraId="4460BC8F"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National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(b)=(c)+(d)</w:t>
            </w:r>
          </w:p>
          <w:p w14:paraId="4E2E9C1B"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746" w:type="dxa"/>
            <w:gridSpan w:val="2"/>
          </w:tcPr>
          <w:p w14:paraId="6D278FB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breakdown</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national</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p>
        </w:tc>
        <w:tc>
          <w:tcPr>
            <w:tcW w:w="852" w:type="dxa"/>
            <w:vMerge w:val="restart"/>
          </w:tcPr>
          <w:p w14:paraId="21C0A257"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p w14:paraId="7620B50D"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e=(a)+(b)</w:t>
            </w:r>
          </w:p>
        </w:tc>
        <w:tc>
          <w:tcPr>
            <w:tcW w:w="937" w:type="dxa"/>
            <w:vMerge w:val="restart"/>
          </w:tcPr>
          <w:p w14:paraId="5FCE9E9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w:t>
            </w:r>
            <w:proofErr w:type="spellStart"/>
            <w:r w:rsidRPr="004C0798">
              <w:rPr>
                <w:rFonts w:asciiTheme="majorHAnsi" w:eastAsia="Times New Roman" w:hAnsiTheme="majorHAnsi" w:cstheme="majorHAnsi"/>
                <w:b/>
                <w:color w:val="808080" w:themeColor="background1" w:themeShade="80"/>
                <w:sz w:val="20"/>
                <w:szCs w:val="20"/>
              </w:rPr>
              <w:t>financing</w:t>
            </w:r>
            <w:proofErr w:type="spellEnd"/>
            <w:r w:rsidRPr="004C0798">
              <w:rPr>
                <w:rFonts w:asciiTheme="majorHAnsi" w:eastAsia="Times New Roman" w:hAnsiTheme="majorHAnsi" w:cstheme="majorHAnsi"/>
                <w:b/>
                <w:color w:val="808080" w:themeColor="background1" w:themeShade="80"/>
                <w:sz w:val="20"/>
                <w:szCs w:val="20"/>
              </w:rPr>
              <w:t xml:space="preserve"> rate (f)=(a)/(e)</w:t>
            </w:r>
          </w:p>
        </w:tc>
      </w:tr>
      <w:tr w:rsidR="001A230B" w:rsidRPr="004C0798" w14:paraId="38FC8632" w14:textId="77777777" w:rsidTr="00861438">
        <w:trPr>
          <w:jc w:val="center"/>
        </w:trPr>
        <w:tc>
          <w:tcPr>
            <w:tcW w:w="922" w:type="dxa"/>
            <w:vMerge/>
          </w:tcPr>
          <w:p w14:paraId="446AA7DC"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892" w:type="dxa"/>
            <w:vMerge/>
          </w:tcPr>
          <w:p w14:paraId="4AB67139"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121" w:type="dxa"/>
            <w:vMerge/>
          </w:tcPr>
          <w:p w14:paraId="54226A6D"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70" w:type="dxa"/>
            <w:vMerge/>
          </w:tcPr>
          <w:p w14:paraId="4759C5D1"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88" w:type="dxa"/>
            <w:vMerge/>
          </w:tcPr>
          <w:p w14:paraId="5A06C42E"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880" w:type="dxa"/>
          </w:tcPr>
          <w:p w14:paraId="50A11012"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public (c )</w:t>
            </w:r>
          </w:p>
        </w:tc>
        <w:tc>
          <w:tcPr>
            <w:tcW w:w="866" w:type="dxa"/>
          </w:tcPr>
          <w:p w14:paraId="4DF269F1"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private (d)</w:t>
            </w:r>
          </w:p>
        </w:tc>
        <w:tc>
          <w:tcPr>
            <w:tcW w:w="852" w:type="dxa"/>
            <w:vMerge/>
          </w:tcPr>
          <w:p w14:paraId="67D70F80"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937" w:type="dxa"/>
            <w:vMerge/>
          </w:tcPr>
          <w:p w14:paraId="407A903F" w14:textId="77777777" w:rsidR="001A230B" w:rsidRPr="004C0798" w:rsidRDefault="001A230B"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r>
      <w:tr w:rsidR="001A230B" w:rsidRPr="004C0798" w14:paraId="62980B71" w14:textId="77777777" w:rsidTr="00861438">
        <w:trPr>
          <w:jc w:val="center"/>
        </w:trPr>
        <w:tc>
          <w:tcPr>
            <w:tcW w:w="922" w:type="dxa"/>
          </w:tcPr>
          <w:p w14:paraId="4AB506A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color w:val="808080" w:themeColor="background1" w:themeShade="80"/>
                <w:sz w:val="20"/>
                <w:szCs w:val="20"/>
              </w:rPr>
              <w:t xml:space="preserve"> 1</w:t>
            </w:r>
          </w:p>
        </w:tc>
        <w:tc>
          <w:tcPr>
            <w:tcW w:w="1892" w:type="dxa"/>
          </w:tcPr>
          <w:p w14:paraId="1DCE04E0"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w:t>
            </w:r>
            <w:r w:rsidRPr="004C0798">
              <w:rPr>
                <w:rFonts w:asciiTheme="majorHAnsi" w:hAnsiTheme="majorHAnsi" w:cstheme="majorHAnsi"/>
                <w:i/>
                <w:color w:val="808080" w:themeColor="background1" w:themeShade="80"/>
                <w:sz w:val="20"/>
                <w:szCs w:val="20"/>
              </w:rPr>
              <w:lastRenderedPageBreak/>
              <w:t xml:space="preserve">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39DB9A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4E8F37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7D02ED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8A19A1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AA12FB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4B10EC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791773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5449F506" w14:textId="77777777" w:rsidTr="00861438">
        <w:trPr>
          <w:jc w:val="center"/>
        </w:trPr>
        <w:tc>
          <w:tcPr>
            <w:tcW w:w="922" w:type="dxa"/>
          </w:tcPr>
          <w:p w14:paraId="7DFBD54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4132D05A"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56FDD6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3F8D373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78C3CC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A048B8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B6A008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CA31B4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85948C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7E853479" w14:textId="77777777" w:rsidTr="00861438">
        <w:trPr>
          <w:jc w:val="center"/>
        </w:trPr>
        <w:tc>
          <w:tcPr>
            <w:tcW w:w="922" w:type="dxa"/>
          </w:tcPr>
          <w:p w14:paraId="3449D54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0F86CB9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13C794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8057F7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5F70C6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1A3E35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7569B7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095EF0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300BDF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0D693B05" w14:textId="77777777" w:rsidTr="00861438">
        <w:trPr>
          <w:jc w:val="center"/>
        </w:trPr>
        <w:tc>
          <w:tcPr>
            <w:tcW w:w="922" w:type="dxa"/>
          </w:tcPr>
          <w:p w14:paraId="573B148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0900BD0"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excluding</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121F2F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E71F33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48CAC3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3B7D5D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E948F0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43EB55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4BE8E6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71816571" w14:textId="77777777" w:rsidTr="00861438">
        <w:trPr>
          <w:jc w:val="center"/>
        </w:trPr>
        <w:tc>
          <w:tcPr>
            <w:tcW w:w="922" w:type="dxa"/>
          </w:tcPr>
          <w:p w14:paraId="1909D42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291BE15D"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w:t>
            </w:r>
          </w:p>
        </w:tc>
        <w:tc>
          <w:tcPr>
            <w:tcW w:w="1121" w:type="dxa"/>
          </w:tcPr>
          <w:p w14:paraId="2DA16B6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4A308B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D933A3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42C231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C4C346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3282381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48AEB5C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62D06A01" w14:textId="77777777" w:rsidTr="00861438">
        <w:trPr>
          <w:jc w:val="center"/>
        </w:trPr>
        <w:tc>
          <w:tcPr>
            <w:tcW w:w="922" w:type="dxa"/>
          </w:tcPr>
          <w:p w14:paraId="0C1D967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6621203A"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1FDE2D3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97A1A4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C50156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752D07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F132A5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D4CE4D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9F2CDD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54946339" w14:textId="77777777" w:rsidTr="00861438">
        <w:trPr>
          <w:jc w:val="center"/>
        </w:trPr>
        <w:tc>
          <w:tcPr>
            <w:tcW w:w="922" w:type="dxa"/>
          </w:tcPr>
          <w:p w14:paraId="707F969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69C0B362"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16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0AEAE1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85A5D8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DC22F4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D9D661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A62D81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D08289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D09307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02373CFB" w14:textId="77777777" w:rsidTr="00861438">
        <w:trPr>
          <w:jc w:val="center"/>
        </w:trPr>
        <w:tc>
          <w:tcPr>
            <w:tcW w:w="922" w:type="dxa"/>
          </w:tcPr>
          <w:p w14:paraId="5BAF6B6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73B9401C"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4DD7A9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FB5D06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D089A1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2E0C57A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A8C29D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E2EEEF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4992078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7170D3D1" w14:textId="77777777" w:rsidTr="00861438">
        <w:trPr>
          <w:jc w:val="center"/>
        </w:trPr>
        <w:tc>
          <w:tcPr>
            <w:tcW w:w="922" w:type="dxa"/>
          </w:tcPr>
          <w:p w14:paraId="1C2B1D7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1</w:t>
            </w:r>
          </w:p>
        </w:tc>
        <w:tc>
          <w:tcPr>
            <w:tcW w:w="1892" w:type="dxa"/>
          </w:tcPr>
          <w:p w14:paraId="3D16EFA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33F4765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46DBD6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108F12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0F18A7A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3FE5ACB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92058B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18F7B1E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426832B9" w14:textId="77777777" w:rsidTr="00861438">
        <w:trPr>
          <w:jc w:val="center"/>
        </w:trPr>
        <w:tc>
          <w:tcPr>
            <w:tcW w:w="922" w:type="dxa"/>
          </w:tcPr>
          <w:p w14:paraId="107ADE2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2</w:t>
            </w:r>
          </w:p>
        </w:tc>
        <w:tc>
          <w:tcPr>
            <w:tcW w:w="1892" w:type="dxa"/>
          </w:tcPr>
          <w:p w14:paraId="54A9674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1EC7C0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85E822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CB36D0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A69AC9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30FB01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BE25C6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5FEFE2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B75C240" w14:textId="77777777" w:rsidTr="00861438">
        <w:trPr>
          <w:jc w:val="center"/>
        </w:trPr>
        <w:tc>
          <w:tcPr>
            <w:tcW w:w="922" w:type="dxa"/>
          </w:tcPr>
          <w:p w14:paraId="326EAAE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5A9FA654"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39BCBDC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18C87BC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E40E23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7A3289C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FDB990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68AEC1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A8F6DD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7E3B3F00" w14:textId="77777777" w:rsidTr="00861438">
        <w:trPr>
          <w:jc w:val="center"/>
        </w:trPr>
        <w:tc>
          <w:tcPr>
            <w:tcW w:w="922" w:type="dxa"/>
          </w:tcPr>
          <w:p w14:paraId="5FA9CF5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08512E2"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C32116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7D1E00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98C36F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324C9E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562F45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044A1B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43FDE4B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533C294A" w14:textId="77777777" w:rsidTr="00861438">
        <w:trPr>
          <w:jc w:val="center"/>
        </w:trPr>
        <w:tc>
          <w:tcPr>
            <w:tcW w:w="922" w:type="dxa"/>
          </w:tcPr>
          <w:p w14:paraId="41ECE7F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388D0B5C"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15F9AD9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684C27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E25DFF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1E0E0D8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C29C51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097BD7E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6F16A81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EE0E34A" w14:textId="77777777" w:rsidTr="00861438">
        <w:trPr>
          <w:jc w:val="center"/>
        </w:trPr>
        <w:tc>
          <w:tcPr>
            <w:tcW w:w="922" w:type="dxa"/>
          </w:tcPr>
          <w:p w14:paraId="4608E41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5E23D30C"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AMIF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1F645B2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809172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3FC9C09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9EDDB5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50354F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BDF7DD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67EA9EF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21DD2D4" w14:textId="77777777" w:rsidTr="00861438">
        <w:trPr>
          <w:jc w:val="center"/>
        </w:trPr>
        <w:tc>
          <w:tcPr>
            <w:tcW w:w="922" w:type="dxa"/>
          </w:tcPr>
          <w:p w14:paraId="047C4FE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2</w:t>
            </w:r>
          </w:p>
        </w:tc>
        <w:tc>
          <w:tcPr>
            <w:tcW w:w="1892" w:type="dxa"/>
          </w:tcPr>
          <w:p w14:paraId="3011DF0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38A508E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E5329B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774E46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A6ABB0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B95C83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C2DF90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6AB7A40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32182439" w14:textId="77777777" w:rsidTr="00861438">
        <w:trPr>
          <w:jc w:val="center"/>
        </w:trPr>
        <w:tc>
          <w:tcPr>
            <w:tcW w:w="922" w:type="dxa"/>
          </w:tcPr>
          <w:p w14:paraId="6D2DE0C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3</w:t>
            </w:r>
          </w:p>
        </w:tc>
        <w:tc>
          <w:tcPr>
            <w:tcW w:w="1892" w:type="dxa"/>
          </w:tcPr>
          <w:p w14:paraId="1414793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707A63C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252C9B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D117E9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0331820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D55277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6D80EE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09C0520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5D935AC6" w14:textId="77777777" w:rsidTr="00861438">
        <w:trPr>
          <w:jc w:val="center"/>
        </w:trPr>
        <w:tc>
          <w:tcPr>
            <w:tcW w:w="922" w:type="dxa"/>
          </w:tcPr>
          <w:p w14:paraId="6332695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FFFDEC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361296F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2375D2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0FE451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5AD509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4FA459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04B9DC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FF177F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559AB20D" w14:textId="77777777" w:rsidTr="00861438">
        <w:trPr>
          <w:jc w:val="center"/>
        </w:trPr>
        <w:tc>
          <w:tcPr>
            <w:tcW w:w="922" w:type="dxa"/>
          </w:tcPr>
          <w:p w14:paraId="790E524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3577E47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38434D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11EC223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AE9EA2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AC8C74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3391412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67DAA6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DFFB39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A6A6C3B" w14:textId="77777777" w:rsidTr="00861438">
        <w:trPr>
          <w:jc w:val="center"/>
        </w:trPr>
        <w:tc>
          <w:tcPr>
            <w:tcW w:w="922" w:type="dxa"/>
          </w:tcPr>
          <w:p w14:paraId="2AAD8E1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5F30DB60"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705CD59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347B6C1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7DEE344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65848A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3E920B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199D13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14FC342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44F8BC37" w14:textId="77777777" w:rsidTr="00861438">
        <w:trPr>
          <w:jc w:val="center"/>
        </w:trPr>
        <w:tc>
          <w:tcPr>
            <w:tcW w:w="922" w:type="dxa"/>
          </w:tcPr>
          <w:p w14:paraId="4FC6CAA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85963DA" w14:textId="77777777" w:rsidR="001A230B" w:rsidRPr="004C0798" w:rsidRDefault="001A230B"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38586D5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3367D04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30AE825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1CC480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04F44CB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B302BA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20856D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14E4310C" w14:textId="77777777" w:rsidTr="00861438">
        <w:trPr>
          <w:jc w:val="center"/>
        </w:trPr>
        <w:tc>
          <w:tcPr>
            <w:tcW w:w="922" w:type="dxa"/>
          </w:tcPr>
          <w:p w14:paraId="15596DB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3</w:t>
            </w:r>
          </w:p>
        </w:tc>
        <w:tc>
          <w:tcPr>
            <w:tcW w:w="1892" w:type="dxa"/>
          </w:tcPr>
          <w:p w14:paraId="22D2AFE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07B2905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857997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3A757D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5E2161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0D757C2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F28557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796438C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463C57EC" w14:textId="77777777" w:rsidTr="00861438">
        <w:trPr>
          <w:jc w:val="center"/>
        </w:trPr>
        <w:tc>
          <w:tcPr>
            <w:tcW w:w="922" w:type="dxa"/>
          </w:tcPr>
          <w:p w14:paraId="113A56B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w:t>
            </w:r>
          </w:p>
        </w:tc>
        <w:tc>
          <w:tcPr>
            <w:tcW w:w="1892" w:type="dxa"/>
          </w:tcPr>
          <w:p w14:paraId="061DEE5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tcPr>
          <w:p w14:paraId="454D787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813468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686301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04F0BEC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2D37D8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683AED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4D6245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722EC884" w14:textId="77777777" w:rsidTr="00861438">
        <w:trPr>
          <w:jc w:val="center"/>
        </w:trPr>
        <w:tc>
          <w:tcPr>
            <w:tcW w:w="922" w:type="dxa"/>
          </w:tcPr>
          <w:p w14:paraId="1405D56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lastRenderedPageBreak/>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c>
          <w:tcPr>
            <w:tcW w:w="1892" w:type="dxa"/>
          </w:tcPr>
          <w:p w14:paraId="3ED95E2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tcPr>
          <w:p w14:paraId="33FE212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374A182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308E55B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F7BC98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AEF8E7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3397B8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0F45573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6456807E" w14:textId="77777777" w:rsidTr="00861438">
        <w:trPr>
          <w:jc w:val="center"/>
        </w:trPr>
        <w:tc>
          <w:tcPr>
            <w:tcW w:w="922" w:type="dxa"/>
          </w:tcPr>
          <w:p w14:paraId="07CF685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Grand</w:t>
            </w:r>
            <w:proofErr w:type="spellEnd"/>
            <w:r w:rsidRPr="004C0798">
              <w:rPr>
                <w:rFonts w:asciiTheme="majorHAnsi" w:hAnsiTheme="majorHAnsi" w:cstheme="majorHAnsi"/>
                <w:color w:val="808080" w:themeColor="background1" w:themeShade="80"/>
                <w:sz w:val="20"/>
                <w:szCs w:val="20"/>
              </w:rPr>
              <w:t xml:space="preserve"> total</w:t>
            </w:r>
          </w:p>
        </w:tc>
        <w:tc>
          <w:tcPr>
            <w:tcW w:w="1892" w:type="dxa"/>
          </w:tcPr>
          <w:p w14:paraId="3AE38DB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46C0FF8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7517812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1C3C92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F09D32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66F5AEF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7A4738F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19621F4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658C4739"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tbl>
      <w:tblPr>
        <w:tblW w:w="65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567"/>
        <w:gridCol w:w="709"/>
        <w:gridCol w:w="567"/>
        <w:gridCol w:w="567"/>
        <w:gridCol w:w="708"/>
        <w:gridCol w:w="709"/>
        <w:gridCol w:w="557"/>
        <w:gridCol w:w="10"/>
      </w:tblGrid>
      <w:tr w:rsidR="001A230B" w:rsidRPr="004C0798" w14:paraId="5E189D18" w14:textId="77777777" w:rsidTr="00861438">
        <w:trPr>
          <w:trHeight w:val="506"/>
        </w:trPr>
        <w:tc>
          <w:tcPr>
            <w:tcW w:w="2127" w:type="dxa"/>
          </w:tcPr>
          <w:p w14:paraId="519553A9"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8 [AMIF </w:t>
            </w:r>
            <w:proofErr w:type="spellStart"/>
            <w:r w:rsidRPr="004C0798">
              <w:rPr>
                <w:rFonts w:asciiTheme="majorHAnsi" w:eastAsia="Times New Roman" w:hAnsiTheme="majorHAnsi" w:cstheme="majorHAnsi"/>
                <w:b/>
                <w:color w:val="808080" w:themeColor="background1" w:themeShade="80"/>
                <w:sz w:val="20"/>
                <w:szCs w:val="20"/>
              </w:rPr>
              <w:t>only</w:t>
            </w:r>
            <w:proofErr w:type="spellEnd"/>
            <w:r w:rsidRPr="004C0798">
              <w:rPr>
                <w:rFonts w:asciiTheme="majorHAnsi" w:eastAsia="Times New Roman" w:hAnsiTheme="majorHAnsi" w:cstheme="majorHAnsi"/>
                <w:b/>
                <w:color w:val="808080" w:themeColor="background1" w:themeShade="80"/>
                <w:sz w:val="20"/>
                <w:szCs w:val="20"/>
              </w:rPr>
              <w:t>]</w:t>
            </w:r>
          </w:p>
        </w:tc>
        <w:tc>
          <w:tcPr>
            <w:tcW w:w="4394" w:type="dxa"/>
            <w:gridSpan w:val="8"/>
          </w:tcPr>
          <w:p w14:paraId="68B76132"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Number</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persons</w:t>
            </w:r>
            <w:proofErr w:type="spellEnd"/>
            <w:r w:rsidRPr="004C0798">
              <w:rPr>
                <w:rFonts w:asciiTheme="majorHAnsi" w:eastAsia="Times New Roman" w:hAnsiTheme="majorHAnsi" w:cstheme="majorHAnsi"/>
                <w:b/>
                <w:color w:val="808080" w:themeColor="background1" w:themeShade="80"/>
                <w:sz w:val="20"/>
                <w:szCs w:val="20"/>
              </w:rPr>
              <w:t xml:space="preserve"> per </w:t>
            </w:r>
            <w:proofErr w:type="spellStart"/>
            <w:r w:rsidRPr="004C0798">
              <w:rPr>
                <w:rFonts w:asciiTheme="majorHAnsi" w:eastAsia="Times New Roman" w:hAnsiTheme="majorHAnsi" w:cstheme="majorHAnsi"/>
                <w:b/>
                <w:color w:val="808080" w:themeColor="background1" w:themeShade="80"/>
                <w:sz w:val="20"/>
                <w:szCs w:val="20"/>
              </w:rPr>
              <w:t>year</w:t>
            </w:r>
            <w:proofErr w:type="spellEnd"/>
          </w:p>
        </w:tc>
      </w:tr>
      <w:tr w:rsidR="001A230B" w:rsidRPr="004C0798" w14:paraId="35349189" w14:textId="77777777" w:rsidTr="00861438">
        <w:trPr>
          <w:gridAfter w:val="1"/>
          <w:wAfter w:w="10" w:type="dxa"/>
        </w:trPr>
        <w:tc>
          <w:tcPr>
            <w:tcW w:w="2127" w:type="dxa"/>
          </w:tcPr>
          <w:p w14:paraId="714F8B11"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Category</w:t>
            </w:r>
            <w:proofErr w:type="spellEnd"/>
          </w:p>
        </w:tc>
        <w:tc>
          <w:tcPr>
            <w:tcW w:w="567" w:type="dxa"/>
          </w:tcPr>
          <w:p w14:paraId="1396F3DB"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709" w:type="dxa"/>
          </w:tcPr>
          <w:p w14:paraId="2115C298"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567" w:type="dxa"/>
          </w:tcPr>
          <w:p w14:paraId="5AD7173C"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567" w:type="dxa"/>
          </w:tcPr>
          <w:p w14:paraId="08A346B8"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708" w:type="dxa"/>
          </w:tcPr>
          <w:p w14:paraId="7ADCC639"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709" w:type="dxa"/>
          </w:tcPr>
          <w:p w14:paraId="02AD808E"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557" w:type="dxa"/>
          </w:tcPr>
          <w:p w14:paraId="55298733"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r>
      <w:tr w:rsidR="001A230B" w:rsidRPr="004C0798" w14:paraId="31DCDB54" w14:textId="77777777" w:rsidTr="00861438">
        <w:trPr>
          <w:gridAfter w:val="1"/>
          <w:wAfter w:w="10" w:type="dxa"/>
        </w:trPr>
        <w:tc>
          <w:tcPr>
            <w:tcW w:w="2127" w:type="dxa"/>
          </w:tcPr>
          <w:p w14:paraId="3CC015B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Resettlement</w:t>
            </w:r>
            <w:proofErr w:type="spellEnd"/>
          </w:p>
        </w:tc>
        <w:tc>
          <w:tcPr>
            <w:tcW w:w="567" w:type="dxa"/>
          </w:tcPr>
          <w:p w14:paraId="300E5C0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31EE7CF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253D27E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3630EC1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0DDEDF8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3A32842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3F04AFE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19E7293B" w14:textId="77777777" w:rsidTr="00861438">
        <w:trPr>
          <w:gridAfter w:val="1"/>
          <w:wAfter w:w="10" w:type="dxa"/>
        </w:trPr>
        <w:tc>
          <w:tcPr>
            <w:tcW w:w="2127" w:type="dxa"/>
          </w:tcPr>
          <w:p w14:paraId="00D6F80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Humanitarian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admission</w:t>
            </w:r>
            <w:proofErr w:type="spellEnd"/>
          </w:p>
        </w:tc>
        <w:tc>
          <w:tcPr>
            <w:tcW w:w="567" w:type="dxa"/>
          </w:tcPr>
          <w:p w14:paraId="51F5646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4E19B10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4AA9A7F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699DBF0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63B6DCB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793D480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3F00B9D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3D288BD2" w14:textId="77777777" w:rsidTr="00861438">
        <w:trPr>
          <w:gridAfter w:val="1"/>
          <w:wAfter w:w="10" w:type="dxa"/>
        </w:trPr>
        <w:tc>
          <w:tcPr>
            <w:tcW w:w="2127" w:type="dxa"/>
          </w:tcPr>
          <w:p w14:paraId="54257D0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w:t>
            </w:r>
            <w:proofErr w:type="spellStart"/>
            <w:r w:rsidRPr="004C0798">
              <w:rPr>
                <w:rFonts w:asciiTheme="majorHAnsi" w:hAnsiTheme="majorHAnsi" w:cstheme="majorHAnsi"/>
                <w:color w:val="808080" w:themeColor="background1" w:themeShade="80"/>
                <w:sz w:val="20"/>
                <w:szCs w:val="20"/>
              </w:rPr>
              <w:t>other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w:t>
            </w:r>
          </w:p>
        </w:tc>
        <w:tc>
          <w:tcPr>
            <w:tcW w:w="567" w:type="dxa"/>
          </w:tcPr>
          <w:p w14:paraId="3D3A18A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78D1D2A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248C46A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347EA49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797C483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2FEB0AE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670EC85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5788C570" w14:textId="77777777" w:rsidR="001A230B" w:rsidRPr="004C0798" w:rsidRDefault="001A230B" w:rsidP="001A230B">
      <w:pP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color w:val="808080" w:themeColor="background1" w:themeShade="80"/>
          <w:sz w:val="20"/>
          <w:szCs w:val="20"/>
          <w:u w:val="single"/>
        </w:rPr>
        <w:t xml:space="preserve">Table 8 </w:t>
      </w:r>
      <w:proofErr w:type="spellStart"/>
      <w:r w:rsidRPr="004C0798">
        <w:rPr>
          <w:rFonts w:asciiTheme="majorHAnsi" w:hAnsiTheme="majorHAnsi" w:cstheme="majorHAnsi"/>
          <w:b/>
          <w:color w:val="808080" w:themeColor="background1" w:themeShade="80"/>
          <w:sz w:val="20"/>
          <w:szCs w:val="20"/>
          <w:u w:val="single"/>
        </w:rPr>
        <w:t>Transfers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between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shared</w:t>
      </w:r>
      <w:proofErr w:type="spellEnd"/>
      <w:r w:rsidRPr="004C0798">
        <w:rPr>
          <w:rFonts w:asciiTheme="majorHAnsi" w:hAnsiTheme="majorHAnsi" w:cstheme="majorHAnsi"/>
          <w:b/>
          <w:color w:val="808080" w:themeColor="background1" w:themeShade="80"/>
          <w:sz w:val="20"/>
          <w:szCs w:val="20"/>
          <w:u w:val="single"/>
        </w:rPr>
        <w:t xml:space="preserve"> management </w:t>
      </w:r>
      <w:proofErr w:type="spellStart"/>
      <w:r w:rsidRPr="004C0798">
        <w:rPr>
          <w:rFonts w:asciiTheme="majorHAnsi" w:hAnsiTheme="majorHAnsi" w:cstheme="majorHAnsi"/>
          <w:b/>
          <w:color w:val="808080" w:themeColor="background1" w:themeShade="80"/>
          <w:sz w:val="20"/>
          <w:szCs w:val="20"/>
          <w:u w:val="single"/>
        </w:rPr>
        <w:t>funds</w:t>
      </w:r>
      <w:proofErr w:type="spellEnd"/>
      <w:r w:rsidRPr="004C0798">
        <w:rPr>
          <w:rFonts w:asciiTheme="majorHAnsi" w:hAnsiTheme="majorHAnsi" w:cstheme="majorHAnsi"/>
          <w:b/>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851"/>
        <w:gridCol w:w="850"/>
        <w:gridCol w:w="709"/>
        <w:gridCol w:w="851"/>
        <w:gridCol w:w="850"/>
        <w:gridCol w:w="851"/>
        <w:gridCol w:w="850"/>
      </w:tblGrid>
      <w:tr w:rsidR="001A230B" w:rsidRPr="004C0798" w14:paraId="3582DB06" w14:textId="77777777" w:rsidTr="00861438">
        <w:trPr>
          <w:trHeight w:val="695"/>
        </w:trPr>
        <w:tc>
          <w:tcPr>
            <w:tcW w:w="3085" w:type="dxa"/>
            <w:shd w:val="clear" w:color="auto" w:fill="FFFFFF"/>
          </w:tcPr>
          <w:p w14:paraId="350B44D6" w14:textId="77777777" w:rsidR="001A230B" w:rsidRPr="004C0798" w:rsidRDefault="001A230B" w:rsidP="00861438">
            <w:pPr>
              <w:spacing w:after="120" w:line="240" w:lineRule="auto"/>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Receiving</w:t>
            </w:r>
            <w:proofErr w:type="spellEnd"/>
            <w:r w:rsidRPr="004C0798">
              <w:rPr>
                <w:rFonts w:asciiTheme="majorHAnsi" w:hAnsiTheme="majorHAnsi" w:cstheme="majorHAnsi"/>
                <w:i/>
                <w:color w:val="808080" w:themeColor="background1" w:themeShade="80"/>
                <w:sz w:val="20"/>
                <w:szCs w:val="20"/>
              </w:rPr>
              <w:t xml:space="preserve"> fund / instrument</w:t>
            </w:r>
          </w:p>
          <w:p w14:paraId="0C5C95D8" w14:textId="77777777" w:rsidR="001A230B" w:rsidRPr="004C0798" w:rsidRDefault="001A230B" w:rsidP="00861438">
            <w:pPr>
              <w:spacing w:after="120" w:line="240" w:lineRule="auto"/>
              <w:ind w:left="1843" w:hanging="1843"/>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Transferring</w:t>
            </w:r>
            <w:proofErr w:type="spellEnd"/>
            <w:r w:rsidRPr="004C0798">
              <w:rPr>
                <w:rFonts w:asciiTheme="majorHAnsi" w:hAnsiTheme="majorHAnsi" w:cstheme="majorHAnsi"/>
                <w:i/>
                <w:color w:val="808080" w:themeColor="background1" w:themeShade="80"/>
                <w:sz w:val="20"/>
                <w:szCs w:val="20"/>
              </w:rPr>
              <w:t xml:space="preserve"> fund /</w:t>
            </w:r>
          </w:p>
          <w:p w14:paraId="56ED399D" w14:textId="77777777" w:rsidR="001A230B" w:rsidRPr="004C0798" w:rsidRDefault="001A230B" w:rsidP="00861438">
            <w:pPr>
              <w:spacing w:after="120" w:line="240" w:lineRule="auto"/>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w:t>
            </w:r>
          </w:p>
        </w:tc>
        <w:tc>
          <w:tcPr>
            <w:tcW w:w="992" w:type="dxa"/>
            <w:shd w:val="clear" w:color="auto" w:fill="FFFFFF"/>
          </w:tcPr>
          <w:p w14:paraId="65C81413"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851" w:type="dxa"/>
            <w:shd w:val="clear" w:color="auto" w:fill="FFFFFF"/>
          </w:tcPr>
          <w:p w14:paraId="47B70727"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850" w:type="dxa"/>
            <w:shd w:val="clear" w:color="auto" w:fill="FFFFFF"/>
          </w:tcPr>
          <w:p w14:paraId="539A2C5F"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709" w:type="dxa"/>
            <w:shd w:val="clear" w:color="auto" w:fill="FFFFFF"/>
          </w:tcPr>
          <w:p w14:paraId="5CA5241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ERDF</w:t>
            </w:r>
          </w:p>
        </w:tc>
        <w:tc>
          <w:tcPr>
            <w:tcW w:w="851" w:type="dxa"/>
            <w:shd w:val="clear" w:color="auto" w:fill="FFFFFF"/>
          </w:tcPr>
          <w:p w14:paraId="466719B8"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ESF+</w:t>
            </w:r>
          </w:p>
        </w:tc>
        <w:tc>
          <w:tcPr>
            <w:tcW w:w="850" w:type="dxa"/>
            <w:shd w:val="clear" w:color="auto" w:fill="FFFFFF"/>
          </w:tcPr>
          <w:p w14:paraId="7C526F9F"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CF</w:t>
            </w:r>
          </w:p>
        </w:tc>
        <w:tc>
          <w:tcPr>
            <w:tcW w:w="851" w:type="dxa"/>
            <w:shd w:val="clear" w:color="auto" w:fill="FFFFFF"/>
          </w:tcPr>
          <w:p w14:paraId="0191276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EMFF</w:t>
            </w:r>
          </w:p>
        </w:tc>
        <w:tc>
          <w:tcPr>
            <w:tcW w:w="850" w:type="dxa"/>
            <w:shd w:val="clear" w:color="auto" w:fill="FFFFFF"/>
          </w:tcPr>
          <w:p w14:paraId="38A1E2B4"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Total </w:t>
            </w:r>
          </w:p>
        </w:tc>
      </w:tr>
      <w:tr w:rsidR="001A230B" w:rsidRPr="004C0798" w14:paraId="1C262731" w14:textId="77777777" w:rsidTr="00861438">
        <w:trPr>
          <w:trHeight w:val="428"/>
        </w:trPr>
        <w:tc>
          <w:tcPr>
            <w:tcW w:w="3085" w:type="dxa"/>
            <w:shd w:val="clear" w:color="auto" w:fill="FFFFFF"/>
          </w:tcPr>
          <w:p w14:paraId="78194CFE"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992" w:type="dxa"/>
            <w:shd w:val="clear" w:color="auto" w:fill="BFBFBF"/>
          </w:tcPr>
          <w:p w14:paraId="7DABA7FA"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3D581DD4"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787D192A"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723B679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6C01746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0EDB72F4"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13D5C4E6"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0AEF5F42"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r w:rsidR="001A230B" w:rsidRPr="004C0798" w14:paraId="07690876" w14:textId="77777777" w:rsidTr="00861438">
        <w:trPr>
          <w:trHeight w:val="428"/>
        </w:trPr>
        <w:tc>
          <w:tcPr>
            <w:tcW w:w="3085" w:type="dxa"/>
            <w:shd w:val="clear" w:color="auto" w:fill="FFFFFF"/>
          </w:tcPr>
          <w:p w14:paraId="7EBA4FD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992" w:type="dxa"/>
            <w:shd w:val="clear" w:color="auto" w:fill="auto"/>
          </w:tcPr>
          <w:p w14:paraId="4C95475D"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BFBFBF"/>
          </w:tcPr>
          <w:p w14:paraId="15DFA26A"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3F667800"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59167A6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4E61C80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auto"/>
          </w:tcPr>
          <w:p w14:paraId="1843D13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7CBE23E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2574A84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r w:rsidR="001A230B" w:rsidRPr="004C0798" w14:paraId="1FBFED02" w14:textId="77777777" w:rsidTr="00861438">
        <w:trPr>
          <w:trHeight w:val="428"/>
        </w:trPr>
        <w:tc>
          <w:tcPr>
            <w:tcW w:w="3085" w:type="dxa"/>
            <w:shd w:val="clear" w:color="auto" w:fill="FFFFFF"/>
          </w:tcPr>
          <w:p w14:paraId="637647B8"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992" w:type="dxa"/>
            <w:shd w:val="clear" w:color="auto" w:fill="auto"/>
          </w:tcPr>
          <w:p w14:paraId="4BAA482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5E9F69C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BFBFBF"/>
          </w:tcPr>
          <w:p w14:paraId="24AA783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3AD2F6A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4A4C42BF"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6AA9856E"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0470CA52"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760E5AD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r w:rsidR="001A230B" w:rsidRPr="004C0798" w14:paraId="3B061CD4" w14:textId="77777777" w:rsidTr="00861438">
        <w:trPr>
          <w:trHeight w:val="428"/>
        </w:trPr>
        <w:tc>
          <w:tcPr>
            <w:tcW w:w="3085" w:type="dxa"/>
            <w:shd w:val="clear" w:color="auto" w:fill="FFFFFF"/>
          </w:tcPr>
          <w:p w14:paraId="20F425C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992" w:type="dxa"/>
            <w:shd w:val="clear" w:color="auto" w:fill="auto"/>
          </w:tcPr>
          <w:p w14:paraId="515A9BD6"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1C193856"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0E92FBAF"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37CE242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7A4D626D"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05C5D84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1206C5D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auto"/>
          </w:tcPr>
          <w:p w14:paraId="28E02C0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bl>
    <w:p w14:paraId="748CB665"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7"/>
        <w:gridCol w:w="3431"/>
      </w:tblGrid>
      <w:tr w:rsidR="001A230B" w:rsidRPr="004C0798" w14:paraId="0D8AA265" w14:textId="77777777" w:rsidTr="00861438">
        <w:tc>
          <w:tcPr>
            <w:tcW w:w="6197" w:type="dxa"/>
          </w:tcPr>
          <w:p w14:paraId="553E488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[Table 9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instruments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direct or indirect management*]</w:t>
            </w:r>
          </w:p>
        </w:tc>
        <w:tc>
          <w:tcPr>
            <w:tcW w:w="3431" w:type="dxa"/>
          </w:tcPr>
          <w:p w14:paraId="517195BF"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Transfer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
        </w:tc>
      </w:tr>
      <w:tr w:rsidR="001A230B" w:rsidRPr="004C0798" w14:paraId="1FABB4D6" w14:textId="77777777" w:rsidTr="00861438">
        <w:tc>
          <w:tcPr>
            <w:tcW w:w="6197" w:type="dxa"/>
          </w:tcPr>
          <w:p w14:paraId="1A84C6A6"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1[</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72C58C7E" w14:textId="77777777" w:rsidR="001A230B" w:rsidRPr="004C0798" w:rsidRDefault="001A230B" w:rsidP="00861438">
            <w:pPr>
              <w:spacing w:after="120" w:line="240" w:lineRule="auto"/>
              <w:rPr>
                <w:rFonts w:asciiTheme="majorHAnsi" w:hAnsiTheme="majorHAnsi" w:cstheme="majorHAnsi"/>
                <w:b/>
                <w:i/>
                <w:color w:val="808080" w:themeColor="background1" w:themeShade="80"/>
                <w:sz w:val="20"/>
                <w:szCs w:val="20"/>
                <w:u w:val="single"/>
              </w:rPr>
            </w:pPr>
          </w:p>
        </w:tc>
      </w:tr>
      <w:tr w:rsidR="001A230B" w:rsidRPr="004C0798" w14:paraId="49E972A3" w14:textId="77777777" w:rsidTr="00861438">
        <w:tc>
          <w:tcPr>
            <w:tcW w:w="6197" w:type="dxa"/>
          </w:tcPr>
          <w:p w14:paraId="1945415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2[</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10E8B160" w14:textId="77777777" w:rsidR="001A230B" w:rsidRPr="004C0798" w:rsidRDefault="001A230B" w:rsidP="00861438">
            <w:pPr>
              <w:spacing w:after="120" w:line="240" w:lineRule="auto"/>
              <w:rPr>
                <w:rFonts w:asciiTheme="majorHAnsi" w:hAnsiTheme="majorHAnsi" w:cstheme="majorHAnsi"/>
                <w:b/>
                <w:i/>
                <w:color w:val="808080" w:themeColor="background1" w:themeShade="80"/>
                <w:sz w:val="20"/>
                <w:szCs w:val="20"/>
                <w:u w:val="single"/>
              </w:rPr>
            </w:pPr>
          </w:p>
        </w:tc>
      </w:tr>
      <w:tr w:rsidR="001A230B" w:rsidRPr="004C0798" w14:paraId="595865B9" w14:textId="77777777" w:rsidTr="00861438">
        <w:tc>
          <w:tcPr>
            <w:tcW w:w="6197" w:type="dxa"/>
          </w:tcPr>
          <w:p w14:paraId="1BDFAAFD"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3431" w:type="dxa"/>
          </w:tcPr>
          <w:p w14:paraId="6EAF623B" w14:textId="77777777" w:rsidR="001A230B" w:rsidRPr="004C0798" w:rsidRDefault="001A230B" w:rsidP="00861438">
            <w:pPr>
              <w:spacing w:after="120" w:line="240" w:lineRule="auto"/>
              <w:rPr>
                <w:rFonts w:asciiTheme="majorHAnsi" w:hAnsiTheme="majorHAnsi" w:cstheme="majorHAnsi"/>
                <w:b/>
                <w:i/>
                <w:color w:val="808080" w:themeColor="background1" w:themeShade="80"/>
                <w:sz w:val="20"/>
                <w:szCs w:val="20"/>
              </w:rPr>
            </w:pPr>
          </w:p>
        </w:tc>
      </w:tr>
    </w:tbl>
    <w:p w14:paraId="2F434073"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p w14:paraId="420C583D" w14:textId="77777777" w:rsidR="001A230B" w:rsidRPr="004C0798" w:rsidRDefault="001A230B" w:rsidP="001A230B">
      <w:pPr>
        <w:spacing w:after="120" w:line="240" w:lineRule="auto"/>
        <w:ind w:left="720"/>
        <w:rPr>
          <w:rFonts w:asciiTheme="majorHAnsi" w:hAnsiTheme="majorHAnsi" w:cstheme="majorHAnsi"/>
          <w:b/>
          <w:color w:val="808080" w:themeColor="background1" w:themeShade="80"/>
          <w:sz w:val="20"/>
          <w:szCs w:val="20"/>
        </w:rPr>
      </w:pPr>
    </w:p>
    <w:p w14:paraId="6EA1FB8B"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Enabling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
    <w:p w14:paraId="573BE61A"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17(3)(h)</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701"/>
        <w:gridCol w:w="1120"/>
        <w:gridCol w:w="1296"/>
        <w:gridCol w:w="1688"/>
        <w:gridCol w:w="1483"/>
      </w:tblGrid>
      <w:tr w:rsidR="001A230B" w:rsidRPr="004C0798" w14:paraId="3D96389B" w14:textId="77777777" w:rsidTr="00861438">
        <w:tc>
          <w:tcPr>
            <w:tcW w:w="9523" w:type="dxa"/>
            <w:gridSpan w:val="6"/>
          </w:tcPr>
          <w:p w14:paraId="2FF74EC9"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10</w:t>
            </w:r>
          </w:p>
        </w:tc>
      </w:tr>
      <w:tr w:rsidR="001A230B" w:rsidRPr="004C0798" w14:paraId="3AF7BF13" w14:textId="77777777" w:rsidTr="00861438">
        <w:tc>
          <w:tcPr>
            <w:tcW w:w="2235" w:type="dxa"/>
          </w:tcPr>
          <w:p w14:paraId="47066601"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p>
        </w:tc>
        <w:tc>
          <w:tcPr>
            <w:tcW w:w="1701" w:type="dxa"/>
          </w:tcPr>
          <w:p w14:paraId="5B840A14"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120" w:type="dxa"/>
          </w:tcPr>
          <w:p w14:paraId="738399AC"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296" w:type="dxa"/>
          </w:tcPr>
          <w:p w14:paraId="1AAB57B8"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688" w:type="dxa"/>
          </w:tcPr>
          <w:p w14:paraId="3A50E79D"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Reference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to</w:t>
            </w:r>
            <w:proofErr w:type="spellEnd"/>
            <w:r w:rsidRPr="004C0798">
              <w:rPr>
                <w:rFonts w:asciiTheme="majorHAnsi" w:eastAsia="Times New Roman" w:hAnsiTheme="majorHAnsi" w:cstheme="majorHAnsi"/>
                <w:b/>
                <w:color w:val="808080" w:themeColor="background1" w:themeShade="80"/>
                <w:sz w:val="20"/>
                <w:szCs w:val="20"/>
              </w:rPr>
              <w:t xml:space="preserve"> relevant </w:t>
            </w:r>
            <w:proofErr w:type="spellStart"/>
            <w:r w:rsidRPr="004C0798">
              <w:rPr>
                <w:rFonts w:asciiTheme="majorHAnsi" w:eastAsia="Times New Roman" w:hAnsiTheme="majorHAnsi" w:cstheme="majorHAnsi"/>
                <w:b/>
                <w:color w:val="808080" w:themeColor="background1" w:themeShade="80"/>
                <w:sz w:val="20"/>
                <w:szCs w:val="20"/>
              </w:rPr>
              <w:t>documents</w:t>
            </w:r>
            <w:proofErr w:type="spellEnd"/>
          </w:p>
        </w:tc>
        <w:tc>
          <w:tcPr>
            <w:tcW w:w="1483" w:type="dxa"/>
          </w:tcPr>
          <w:p w14:paraId="4CD24D99"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Justification</w:t>
            </w:r>
            <w:proofErr w:type="spellEnd"/>
          </w:p>
        </w:tc>
      </w:tr>
      <w:tr w:rsidR="001A230B" w:rsidRPr="004C0798" w14:paraId="54692BF2" w14:textId="77777777" w:rsidTr="00861438">
        <w:tc>
          <w:tcPr>
            <w:tcW w:w="2235" w:type="dxa"/>
          </w:tcPr>
          <w:p w14:paraId="4D6A033C"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1701" w:type="dxa"/>
          </w:tcPr>
          <w:p w14:paraId="770AEBA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1120" w:type="dxa"/>
          </w:tcPr>
          <w:p w14:paraId="78FEBA0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1</w:t>
            </w:r>
          </w:p>
        </w:tc>
        <w:tc>
          <w:tcPr>
            <w:tcW w:w="1296" w:type="dxa"/>
          </w:tcPr>
          <w:p w14:paraId="5F34B66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Y/N</w:t>
            </w:r>
          </w:p>
        </w:tc>
        <w:tc>
          <w:tcPr>
            <w:tcW w:w="1688" w:type="dxa"/>
          </w:tcPr>
          <w:p w14:paraId="0445747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[500]</w:t>
            </w:r>
          </w:p>
        </w:tc>
        <w:tc>
          <w:tcPr>
            <w:tcW w:w="1483" w:type="dxa"/>
          </w:tcPr>
          <w:p w14:paraId="7792C3A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[1000]</w:t>
            </w:r>
          </w:p>
        </w:tc>
      </w:tr>
      <w:tr w:rsidR="001A230B" w:rsidRPr="004C0798" w14:paraId="4A64CBBA" w14:textId="77777777" w:rsidTr="00861438">
        <w:tc>
          <w:tcPr>
            <w:tcW w:w="2235" w:type="dxa"/>
          </w:tcPr>
          <w:p w14:paraId="61C7BF00"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1701" w:type="dxa"/>
          </w:tcPr>
          <w:p w14:paraId="46F745E8"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1120" w:type="dxa"/>
          </w:tcPr>
          <w:p w14:paraId="1741A62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2</w:t>
            </w:r>
          </w:p>
        </w:tc>
        <w:tc>
          <w:tcPr>
            <w:tcW w:w="1296" w:type="dxa"/>
          </w:tcPr>
          <w:p w14:paraId="4C8F197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688" w:type="dxa"/>
          </w:tcPr>
          <w:p w14:paraId="28D04C5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1483" w:type="dxa"/>
          </w:tcPr>
          <w:p w14:paraId="5A0D46D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17E87BEF"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authorities</w:t>
      </w:r>
      <w:proofErr w:type="spellEnd"/>
      <w:r w:rsidRPr="004C0798">
        <w:rPr>
          <w:rFonts w:asciiTheme="majorHAnsi" w:hAnsiTheme="majorHAnsi" w:cstheme="majorHAnsi"/>
          <w:b/>
          <w:color w:val="808080" w:themeColor="background1" w:themeShade="80"/>
          <w:sz w:val="20"/>
          <w:szCs w:val="20"/>
        </w:rPr>
        <w:t xml:space="preserve"> </w:t>
      </w:r>
    </w:p>
    <w:p w14:paraId="4CE73FBD"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17(3)(j),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65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78 CPR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192"/>
        <w:gridCol w:w="2551"/>
        <w:gridCol w:w="2363"/>
      </w:tblGrid>
      <w:tr w:rsidR="001A230B" w:rsidRPr="004C0798" w14:paraId="36B861D6" w14:textId="77777777" w:rsidTr="00861438">
        <w:tc>
          <w:tcPr>
            <w:tcW w:w="2182" w:type="dxa"/>
          </w:tcPr>
          <w:p w14:paraId="5E850D2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b/>
                <w:color w:val="808080" w:themeColor="background1" w:themeShade="80"/>
                <w:sz w:val="20"/>
                <w:szCs w:val="20"/>
              </w:rPr>
              <w:t>Table</w:t>
            </w:r>
            <w:r w:rsidRPr="004C0798">
              <w:rPr>
                <w:rFonts w:asciiTheme="majorHAnsi" w:hAnsiTheme="majorHAnsi" w:cstheme="majorHAnsi"/>
                <w:b/>
                <w:i/>
                <w:color w:val="808080" w:themeColor="background1" w:themeShade="80"/>
                <w:sz w:val="20"/>
                <w:szCs w:val="20"/>
              </w:rPr>
              <w:t xml:space="preserve"> 11</w:t>
            </w:r>
          </w:p>
        </w:tc>
        <w:tc>
          <w:tcPr>
            <w:tcW w:w="2192" w:type="dxa"/>
          </w:tcPr>
          <w:p w14:paraId="3157572F"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of the </w:t>
            </w:r>
            <w:proofErr w:type="spellStart"/>
            <w:r w:rsidRPr="004C0798">
              <w:rPr>
                <w:rFonts w:asciiTheme="majorHAnsi" w:eastAsia="Times New Roman" w:hAnsiTheme="majorHAnsi" w:cstheme="majorHAnsi"/>
                <w:b/>
                <w:color w:val="808080" w:themeColor="background1" w:themeShade="80"/>
                <w:sz w:val="20"/>
                <w:szCs w:val="20"/>
              </w:rPr>
              <w:t>institution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[500]</w:t>
            </w:r>
          </w:p>
        </w:tc>
        <w:tc>
          <w:tcPr>
            <w:tcW w:w="2551" w:type="dxa"/>
          </w:tcPr>
          <w:p w14:paraId="7EB865C3"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Contact </w:t>
            </w: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and</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position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[200]</w:t>
            </w:r>
          </w:p>
        </w:tc>
        <w:tc>
          <w:tcPr>
            <w:tcW w:w="2363" w:type="dxa"/>
          </w:tcPr>
          <w:p w14:paraId="0324D2D2" w14:textId="77777777" w:rsidR="001A230B" w:rsidRPr="004C0798" w:rsidRDefault="001A230B"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e-mail [200]</w:t>
            </w:r>
          </w:p>
        </w:tc>
      </w:tr>
      <w:tr w:rsidR="001A230B" w:rsidRPr="004C0798" w14:paraId="06179499" w14:textId="77777777" w:rsidTr="00861438">
        <w:tc>
          <w:tcPr>
            <w:tcW w:w="2182" w:type="dxa"/>
          </w:tcPr>
          <w:p w14:paraId="5A8E1447"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proofErr w:type="spellStart"/>
            <w:r w:rsidRPr="004C0798">
              <w:rPr>
                <w:rFonts w:asciiTheme="majorHAnsi" w:eastAsia="Times New Roman" w:hAnsiTheme="majorHAnsi" w:cstheme="majorHAnsi"/>
                <w:color w:val="808080" w:themeColor="background1" w:themeShade="80"/>
                <w:sz w:val="20"/>
                <w:szCs w:val="20"/>
              </w:rPr>
              <w:lastRenderedPageBreak/>
              <w:t>Managing</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17ACC7D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5A7BCAC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5A1F83F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6A81BC99" w14:textId="77777777" w:rsidTr="00861438">
        <w:tc>
          <w:tcPr>
            <w:tcW w:w="2182" w:type="dxa"/>
          </w:tcPr>
          <w:p w14:paraId="51AC6595"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Audit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5DC1E13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71E9DDE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33F21E5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89A6F3C" w14:textId="77777777" w:rsidTr="00861438">
        <w:tc>
          <w:tcPr>
            <w:tcW w:w="2182" w:type="dxa"/>
          </w:tcPr>
          <w:p w14:paraId="0E2D3C1C" w14:textId="77777777" w:rsidR="001A230B" w:rsidRPr="004C0798" w:rsidRDefault="001A230B"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Body </w:t>
            </w:r>
            <w:proofErr w:type="spellStart"/>
            <w:r w:rsidRPr="004C0798">
              <w:rPr>
                <w:rFonts w:asciiTheme="majorHAnsi" w:eastAsia="Times New Roman" w:hAnsiTheme="majorHAnsi" w:cstheme="majorHAnsi"/>
                <w:color w:val="808080" w:themeColor="background1" w:themeShade="80"/>
                <w:sz w:val="20"/>
                <w:szCs w:val="20"/>
              </w:rPr>
              <w:t>which</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receives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payments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from</w:t>
            </w:r>
            <w:proofErr w:type="spellEnd"/>
            <w:r w:rsidRPr="004C0798">
              <w:rPr>
                <w:rFonts w:asciiTheme="majorHAnsi" w:eastAsia="Times New Roman" w:hAnsiTheme="majorHAnsi" w:cstheme="majorHAnsi"/>
                <w:color w:val="808080" w:themeColor="background1" w:themeShade="80"/>
                <w:sz w:val="20"/>
                <w:szCs w:val="20"/>
              </w:rPr>
              <w:t xml:space="preserve"> the </w:t>
            </w:r>
            <w:proofErr w:type="spellStart"/>
            <w:r w:rsidRPr="004C0798">
              <w:rPr>
                <w:rFonts w:asciiTheme="majorHAnsi" w:eastAsia="Times New Roman" w:hAnsiTheme="majorHAnsi" w:cstheme="majorHAnsi"/>
                <w:color w:val="808080" w:themeColor="background1" w:themeShade="80"/>
                <w:sz w:val="20"/>
                <w:szCs w:val="20"/>
              </w:rPr>
              <w:t>Commission</w:t>
            </w:r>
            <w:proofErr w:type="spellEnd"/>
          </w:p>
        </w:tc>
        <w:tc>
          <w:tcPr>
            <w:tcW w:w="2192" w:type="dxa"/>
          </w:tcPr>
          <w:p w14:paraId="7867C1A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3F7E234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651D1AC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47AA2A30"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p w14:paraId="662141A9"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Partnership</w:t>
      </w:r>
      <w:proofErr w:type="spellEnd"/>
      <w:r w:rsidRPr="004C0798">
        <w:rPr>
          <w:rFonts w:asciiTheme="majorHAnsi" w:hAnsiTheme="majorHAnsi" w:cstheme="majorHAnsi"/>
          <w:b/>
          <w:color w:val="808080" w:themeColor="background1" w:themeShade="80"/>
          <w:sz w:val="20"/>
          <w:szCs w:val="20"/>
        </w:rPr>
        <w:t xml:space="preserve"> </w:t>
      </w:r>
    </w:p>
    <w:p w14:paraId="24E0E283"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17(3)(g) CPR;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1A230B" w:rsidRPr="004C0798" w14:paraId="5F83A68E" w14:textId="77777777" w:rsidTr="00861438">
        <w:tc>
          <w:tcPr>
            <w:tcW w:w="9288" w:type="dxa"/>
          </w:tcPr>
          <w:p w14:paraId="625E879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[10 000] </w:t>
            </w:r>
          </w:p>
        </w:tc>
      </w:tr>
    </w:tbl>
    <w:p w14:paraId="58999078"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p w14:paraId="1648213D"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Communication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visibility</w:t>
      </w:r>
      <w:proofErr w:type="spellEnd"/>
    </w:p>
    <w:p w14:paraId="682FEC3C"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17(3)(i)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42(2) CPR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1A230B" w:rsidRPr="004C0798" w14:paraId="78A02369" w14:textId="77777777" w:rsidTr="00861438">
        <w:tc>
          <w:tcPr>
            <w:tcW w:w="9288" w:type="dxa"/>
          </w:tcPr>
          <w:p w14:paraId="1186BA2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[4 500]</w:t>
            </w:r>
          </w:p>
        </w:tc>
      </w:tr>
    </w:tbl>
    <w:p w14:paraId="327B6AA8"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43B77E15" w14:textId="77777777" w:rsidR="001A230B" w:rsidRPr="004C0798" w:rsidRDefault="001A230B" w:rsidP="001A230B">
      <w:pPr>
        <w:numPr>
          <w:ilvl w:val="0"/>
          <w:numId w:val="5"/>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lastRenderedPageBreak/>
        <w:t>Use</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financing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not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linked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p>
    <w:p w14:paraId="716CB74E"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 CPR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276"/>
        <w:gridCol w:w="1701"/>
      </w:tblGrid>
      <w:tr w:rsidR="001A230B" w:rsidRPr="004C0798" w14:paraId="321F16C4" w14:textId="77777777" w:rsidTr="00861438">
        <w:tc>
          <w:tcPr>
            <w:tcW w:w="6345" w:type="dxa"/>
          </w:tcPr>
          <w:p w14:paraId="72C116B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w:t>
            </w:r>
            <w:proofErr w:type="spellStart"/>
            <w:r w:rsidRPr="004C0798">
              <w:rPr>
                <w:rFonts w:asciiTheme="majorHAnsi" w:hAnsiTheme="majorHAnsi" w:cstheme="majorHAnsi"/>
                <w:i/>
                <w:color w:val="808080" w:themeColor="background1" w:themeShade="80"/>
                <w:sz w:val="20"/>
                <w:szCs w:val="20"/>
              </w:rPr>
              <w:t>Intended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w:t>
            </w:r>
            <w:r w:rsidRPr="004C0798">
              <w:rPr>
                <w:rFonts w:asciiTheme="majorHAnsi" w:hAnsiTheme="majorHAnsi" w:cstheme="majorHAnsi"/>
                <w:i/>
                <w:color w:val="808080" w:themeColor="background1" w:themeShade="80"/>
                <w:sz w:val="20"/>
                <w:szCs w:val="20"/>
                <w:vertAlign w:val="superscript"/>
              </w:rPr>
              <w:footnoteReference w:id="7"/>
            </w:r>
          </w:p>
        </w:tc>
        <w:tc>
          <w:tcPr>
            <w:tcW w:w="1276" w:type="dxa"/>
          </w:tcPr>
          <w:p w14:paraId="749102D4"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YES</w:t>
            </w:r>
          </w:p>
        </w:tc>
        <w:tc>
          <w:tcPr>
            <w:tcW w:w="1701" w:type="dxa"/>
          </w:tcPr>
          <w:p w14:paraId="7A268090"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NO</w:t>
            </w:r>
          </w:p>
        </w:tc>
      </w:tr>
      <w:tr w:rsidR="001A230B" w:rsidRPr="004C0798" w14:paraId="099AB7D1" w14:textId="77777777" w:rsidTr="00861438">
        <w:tc>
          <w:tcPr>
            <w:tcW w:w="6345" w:type="dxa"/>
          </w:tcPr>
          <w:p w14:paraId="6DB919D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unit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lump</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sums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flat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priority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1)</w:t>
            </w:r>
          </w:p>
        </w:tc>
        <w:tc>
          <w:tcPr>
            <w:tcW w:w="1276" w:type="dxa"/>
          </w:tcPr>
          <w:p w14:paraId="7120651A"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02D39228"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r w:rsidR="001A230B" w:rsidRPr="004C0798" w14:paraId="280608D0" w14:textId="77777777" w:rsidTr="00861438">
        <w:tc>
          <w:tcPr>
            <w:tcW w:w="6345" w:type="dxa"/>
          </w:tcPr>
          <w:p w14:paraId="0F8A71A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2)</w:t>
            </w:r>
          </w:p>
        </w:tc>
        <w:tc>
          <w:tcPr>
            <w:tcW w:w="1276" w:type="dxa"/>
          </w:tcPr>
          <w:p w14:paraId="4D36918F"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417B089B" w14:textId="77777777" w:rsidR="001A230B" w:rsidRPr="004C0798" w:rsidRDefault="001A230B"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bl>
    <w:p w14:paraId="0A8CD9A0" w14:textId="77777777" w:rsidR="001A230B" w:rsidRPr="004C0798" w:rsidRDefault="001A230B" w:rsidP="001A230B">
      <w:pPr>
        <w:spacing w:after="120" w:line="240" w:lineRule="auto"/>
        <w:rPr>
          <w:rFonts w:asciiTheme="majorHAnsi" w:hAnsiTheme="majorHAnsi" w:cstheme="majorHAnsi"/>
          <w:b/>
          <w: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1:</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unit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lump</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sums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and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flat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rates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8"/>
      </w:r>
      <w:r w:rsidRPr="004C0798">
        <w:rPr>
          <w:rFonts w:asciiTheme="majorHAnsi" w:hAnsiTheme="majorHAnsi" w:cstheme="majorHAnsi"/>
          <w:b/>
          <w:color w:val="808080" w:themeColor="background1" w:themeShade="80"/>
          <w:sz w:val="20"/>
          <w:szCs w:val="20"/>
        </w:rPr>
        <w:t xml:space="preserve"> </w:t>
      </w:r>
    </w:p>
    <w:p w14:paraId="58857C3B" w14:textId="77777777" w:rsidR="001A230B" w:rsidRPr="004C0798" w:rsidRDefault="001A230B" w:rsidP="001A230B">
      <w:pPr>
        <w:spacing w:after="120" w:line="240" w:lineRule="auto"/>
        <w:rPr>
          <w:rFonts w:asciiTheme="majorHAnsi" w:hAnsiTheme="majorHAnsi" w:cstheme="majorHAnsi"/>
          <w:b/>
          <w:i/>
          <w:color w:val="808080" w:themeColor="background1" w:themeShade="80"/>
          <w:sz w:val="20"/>
          <w:szCs w:val="20"/>
        </w:rPr>
      </w:pPr>
    </w:p>
    <w:p w14:paraId="13FBCA9D" w14:textId="77777777" w:rsidR="001A230B" w:rsidRPr="004C0798" w:rsidRDefault="001A230B" w:rsidP="001A230B">
      <w:pPr>
        <w:spacing w:after="120" w:line="240" w:lineRule="auto"/>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3D98A115" w14:textId="77777777" w:rsidR="001A230B" w:rsidRPr="004C0798" w:rsidRDefault="001A230B" w:rsidP="001A230B">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88)</w:t>
      </w:r>
    </w:p>
    <w:p w14:paraId="23687760" w14:textId="77777777" w:rsidR="001A230B" w:rsidRPr="004C0798" w:rsidRDefault="001A230B" w:rsidP="001A230B">
      <w:pPr>
        <w:spacing w:after="120" w:line="240" w:lineRule="auto"/>
        <w:jc w:val="center"/>
        <w:rPr>
          <w:rFonts w:asciiTheme="majorHAnsi" w:hAnsiTheme="majorHAnsi" w:cstheme="majorHAnsi"/>
          <w:color w:val="808080" w:themeColor="background1" w:themeShade="80"/>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1A230B" w:rsidRPr="004C0798" w14:paraId="7F181C3A" w14:textId="77777777" w:rsidTr="00861438">
        <w:tc>
          <w:tcPr>
            <w:tcW w:w="4644" w:type="dxa"/>
            <w:shd w:val="clear" w:color="auto" w:fill="auto"/>
          </w:tcPr>
          <w:p w14:paraId="79B8620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644" w:type="dxa"/>
            <w:shd w:val="clear" w:color="auto" w:fill="auto"/>
          </w:tcPr>
          <w:p w14:paraId="3196BE8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249F5AB" w14:textId="77777777" w:rsidTr="00861438">
        <w:tc>
          <w:tcPr>
            <w:tcW w:w="4644" w:type="dxa"/>
            <w:shd w:val="clear" w:color="auto" w:fill="auto"/>
          </w:tcPr>
          <w:p w14:paraId="5AFFDF7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644" w:type="dxa"/>
            <w:shd w:val="clear" w:color="auto" w:fill="auto"/>
          </w:tcPr>
          <w:p w14:paraId="252BF45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0A6253DA"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sectPr w:rsidR="001A230B" w:rsidRPr="004C0798" w:rsidSect="004C079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567" w:footer="567" w:gutter="0"/>
          <w:pgNumType w:start="1"/>
          <w:cols w:space="708"/>
        </w:sectPr>
      </w:pPr>
    </w:p>
    <w:p w14:paraId="7937848B"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856"/>
        <w:gridCol w:w="1033"/>
        <w:gridCol w:w="647"/>
        <w:gridCol w:w="1069"/>
        <w:gridCol w:w="647"/>
        <w:gridCol w:w="1102"/>
        <w:gridCol w:w="1244"/>
        <w:gridCol w:w="948"/>
        <w:gridCol w:w="1286"/>
      </w:tblGrid>
      <w:tr w:rsidR="001A230B" w:rsidRPr="004C0798" w14:paraId="4352E4DF" w14:textId="77777777" w:rsidTr="00861438">
        <w:trPr>
          <w:jc w:val="center"/>
        </w:trPr>
        <w:tc>
          <w:tcPr>
            <w:tcW w:w="1145" w:type="dxa"/>
            <w:vAlign w:val="center"/>
          </w:tcPr>
          <w:p w14:paraId="61E4CB18" w14:textId="77777777" w:rsidR="001A230B" w:rsidRPr="004C0798" w:rsidRDefault="001A230B" w:rsidP="00861438">
            <w:pPr>
              <w:spacing w:after="120" w:line="240" w:lineRule="auto"/>
              <w:jc w:val="center"/>
              <w:rPr>
                <w:rFonts w:asciiTheme="majorHAnsi" w:hAnsiTheme="majorHAnsi" w:cstheme="majorHAnsi"/>
                <w:b/>
                <w:strike/>
                <w:color w:val="808080" w:themeColor="background1" w:themeShade="80"/>
                <w:sz w:val="20"/>
                <w:szCs w:val="20"/>
              </w:rPr>
            </w:pPr>
          </w:p>
          <w:p w14:paraId="215048A3"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9"/>
            </w:r>
          </w:p>
        </w:tc>
        <w:tc>
          <w:tcPr>
            <w:tcW w:w="1243" w:type="dxa"/>
            <w:vAlign w:val="center"/>
          </w:tcPr>
          <w:p w14:paraId="1FFF64CA"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10"/>
            </w:r>
          </w:p>
        </w:tc>
        <w:tc>
          <w:tcPr>
            <w:tcW w:w="1530" w:type="dxa"/>
            <w:vAlign w:val="center"/>
          </w:tcPr>
          <w:p w14:paraId="23CA6F7A"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Estimated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proportion</w:t>
            </w:r>
            <w:proofErr w:type="spellEnd"/>
            <w:r w:rsidRPr="004C0798">
              <w:rPr>
                <w:rFonts w:asciiTheme="majorHAnsi" w:hAnsiTheme="majorHAnsi" w:cstheme="majorHAnsi"/>
                <w:b/>
                <w:color w:val="808080" w:themeColor="background1" w:themeShade="80"/>
                <w:sz w:val="20"/>
                <w:szCs w:val="20"/>
              </w:rPr>
              <w:t xml:space="preserve"> of the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within</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priority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the SCO </w:t>
            </w:r>
            <w:proofErr w:type="spellStart"/>
            <w:r w:rsidRPr="004C0798">
              <w:rPr>
                <w:rFonts w:asciiTheme="majorHAnsi" w:hAnsiTheme="majorHAnsi" w:cstheme="majorHAnsi"/>
                <w:b/>
                <w:color w:val="808080" w:themeColor="background1" w:themeShade="80"/>
                <w:sz w:val="20"/>
                <w:szCs w:val="20"/>
              </w:rPr>
              <w:t>will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applied</w:t>
            </w:r>
            <w:proofErr w:type="spellEnd"/>
            <w:r w:rsidRPr="004C0798">
              <w:rPr>
                <w:rFonts w:asciiTheme="majorHAnsi" w:hAnsiTheme="majorHAnsi" w:cstheme="majorHAnsi"/>
                <w:b/>
                <w:color w:val="808080" w:themeColor="background1" w:themeShade="80"/>
                <w:sz w:val="20"/>
                <w:szCs w:val="20"/>
              </w:rPr>
              <w:t xml:space="preserve"> in % (estimate)</w:t>
            </w:r>
          </w:p>
        </w:tc>
        <w:tc>
          <w:tcPr>
            <w:tcW w:w="2493" w:type="dxa"/>
            <w:gridSpan w:val="2"/>
            <w:shd w:val="clear" w:color="auto" w:fill="auto"/>
            <w:vAlign w:val="center"/>
          </w:tcPr>
          <w:p w14:paraId="282369D9"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547" w:type="dxa"/>
            <w:gridSpan w:val="2"/>
            <w:shd w:val="clear" w:color="auto" w:fill="auto"/>
            <w:vAlign w:val="center"/>
          </w:tcPr>
          <w:p w14:paraId="71A06B18"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873" w:type="dxa"/>
            <w:shd w:val="clear" w:color="auto" w:fill="auto"/>
            <w:vAlign w:val="center"/>
          </w:tcPr>
          <w:p w14:paraId="32395994"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392" w:type="dxa"/>
            <w:vAlign w:val="center"/>
          </w:tcPr>
          <w:p w14:paraId="5D2E3EEE"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SCO (standard scale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w:t>
            </w:r>
          </w:p>
        </w:tc>
        <w:tc>
          <w:tcPr>
            <w:tcW w:w="1942" w:type="dxa"/>
            <w:shd w:val="clear" w:color="auto" w:fill="auto"/>
            <w:vAlign w:val="center"/>
          </w:tcPr>
          <w:p w14:paraId="52312B31"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standard </w:t>
            </w:r>
            <w:proofErr w:type="spellStart"/>
            <w:r w:rsidRPr="004C0798">
              <w:rPr>
                <w:rFonts w:asciiTheme="majorHAnsi" w:hAnsiTheme="majorHAnsi" w:cstheme="majorHAnsi"/>
                <w:b/>
                <w:color w:val="808080" w:themeColor="background1" w:themeShade="80"/>
                <w:sz w:val="20"/>
                <w:szCs w:val="20"/>
              </w:rPr>
              <w:t>scales</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p>
        </w:tc>
      </w:tr>
      <w:tr w:rsidR="001A230B" w:rsidRPr="004C0798" w14:paraId="1A11543B" w14:textId="77777777" w:rsidTr="00861438">
        <w:trPr>
          <w:jc w:val="center"/>
        </w:trPr>
        <w:tc>
          <w:tcPr>
            <w:tcW w:w="1145" w:type="dxa"/>
            <w:vAlign w:val="center"/>
          </w:tcPr>
          <w:p w14:paraId="5E231255"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vAlign w:val="center"/>
          </w:tcPr>
          <w:p w14:paraId="0283201F"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530" w:type="dxa"/>
            <w:vAlign w:val="center"/>
          </w:tcPr>
          <w:p w14:paraId="7B74058C"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904" w:type="dxa"/>
            <w:shd w:val="clear" w:color="auto" w:fill="auto"/>
            <w:vAlign w:val="center"/>
          </w:tcPr>
          <w:p w14:paraId="2D05C63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Code</w:t>
            </w:r>
          </w:p>
        </w:tc>
        <w:tc>
          <w:tcPr>
            <w:tcW w:w="1589" w:type="dxa"/>
            <w:vAlign w:val="center"/>
          </w:tcPr>
          <w:p w14:paraId="5192349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904" w:type="dxa"/>
            <w:shd w:val="clear" w:color="auto" w:fill="auto"/>
            <w:vAlign w:val="center"/>
          </w:tcPr>
          <w:p w14:paraId="70F7CA42"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643" w:type="dxa"/>
            <w:vAlign w:val="center"/>
          </w:tcPr>
          <w:p w14:paraId="6D17448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873" w:type="dxa"/>
            <w:shd w:val="clear" w:color="auto" w:fill="auto"/>
            <w:vAlign w:val="center"/>
          </w:tcPr>
          <w:p w14:paraId="30ACE74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392" w:type="dxa"/>
            <w:vAlign w:val="center"/>
          </w:tcPr>
          <w:p w14:paraId="7432635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942" w:type="dxa"/>
            <w:shd w:val="clear" w:color="auto" w:fill="auto"/>
            <w:vAlign w:val="center"/>
          </w:tcPr>
          <w:p w14:paraId="4C19EFCC"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1B19D2F3" w14:textId="77777777" w:rsidTr="00861438">
        <w:trPr>
          <w:jc w:val="center"/>
        </w:trPr>
        <w:tc>
          <w:tcPr>
            <w:tcW w:w="1145" w:type="dxa"/>
            <w:vAlign w:val="center"/>
          </w:tcPr>
          <w:p w14:paraId="25D91D39"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vAlign w:val="center"/>
          </w:tcPr>
          <w:p w14:paraId="1542D99E"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530" w:type="dxa"/>
            <w:vAlign w:val="center"/>
          </w:tcPr>
          <w:p w14:paraId="40A347EF"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530B64E1"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589" w:type="dxa"/>
            <w:vAlign w:val="center"/>
          </w:tcPr>
          <w:p w14:paraId="7729E965"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1DEBC9D8"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643" w:type="dxa"/>
            <w:vAlign w:val="center"/>
          </w:tcPr>
          <w:p w14:paraId="79AB2A93"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368D31B4"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392" w:type="dxa"/>
            <w:vAlign w:val="center"/>
          </w:tcPr>
          <w:p w14:paraId="61B89A3C"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0201D375"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r w:rsidR="001A230B" w:rsidRPr="004C0798" w14:paraId="6BC64EAE" w14:textId="77777777" w:rsidTr="00861438">
        <w:trPr>
          <w:jc w:val="center"/>
        </w:trPr>
        <w:tc>
          <w:tcPr>
            <w:tcW w:w="1145" w:type="dxa"/>
            <w:vAlign w:val="center"/>
          </w:tcPr>
          <w:p w14:paraId="48BE6489"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vAlign w:val="center"/>
          </w:tcPr>
          <w:p w14:paraId="4B23A559"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530" w:type="dxa"/>
            <w:vAlign w:val="center"/>
          </w:tcPr>
          <w:p w14:paraId="318B2F69"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43A68E16"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589" w:type="dxa"/>
            <w:vAlign w:val="center"/>
          </w:tcPr>
          <w:p w14:paraId="67A5ABA5"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59B6C7FC"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643" w:type="dxa"/>
            <w:vAlign w:val="center"/>
          </w:tcPr>
          <w:p w14:paraId="5422EFBA"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5B53A2F6"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392" w:type="dxa"/>
            <w:vAlign w:val="center"/>
          </w:tcPr>
          <w:p w14:paraId="329FA2E4"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3138D168"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bl>
    <w:p w14:paraId="31C5697D" w14:textId="77777777" w:rsidR="001A230B" w:rsidRPr="004C0798" w:rsidRDefault="001A230B" w:rsidP="001A230B">
      <w:pPr>
        <w:spacing w:after="120" w:line="240" w:lineRule="auto"/>
        <w:jc w:val="center"/>
        <w:rPr>
          <w:rFonts w:asciiTheme="majorHAnsi" w:hAnsiTheme="majorHAnsi" w:cstheme="majorHAnsi"/>
          <w:color w:val="808080" w:themeColor="background1" w:themeShade="80"/>
          <w:sz w:val="20"/>
          <w:szCs w:val="20"/>
        </w:rPr>
        <w:sectPr w:rsidR="001A230B" w:rsidRPr="004C0798" w:rsidSect="004C0798">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567" w:left="1134" w:header="567" w:footer="567" w:gutter="0"/>
          <w:cols w:space="708"/>
        </w:sectPr>
      </w:pPr>
    </w:p>
    <w:p w14:paraId="7D6CB90C"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4F03FCFE"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Did</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managing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receive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support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from</w:t>
      </w:r>
      <w:proofErr w:type="spellEnd"/>
      <w:r w:rsidRPr="004C0798">
        <w:rPr>
          <w:rFonts w:asciiTheme="majorHAnsi" w:hAnsiTheme="majorHAnsi" w:cstheme="majorHAnsi"/>
          <w:b/>
          <w:color w:val="808080" w:themeColor="background1" w:themeShade="80"/>
          <w:sz w:val="20"/>
          <w:szCs w:val="20"/>
        </w:rPr>
        <w:t xml:space="preserve"> an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set out the </w:t>
      </w:r>
      <w:proofErr w:type="spellStart"/>
      <w:r w:rsidRPr="004C0798">
        <w:rPr>
          <w:rFonts w:asciiTheme="majorHAnsi" w:hAnsiTheme="majorHAnsi" w:cstheme="majorHAnsi"/>
          <w:b/>
          <w:color w:val="808080" w:themeColor="background1" w:themeShade="80"/>
          <w:sz w:val="20"/>
          <w:szCs w:val="20"/>
        </w:rPr>
        <w:t>simplified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below</w:t>
      </w:r>
      <w:proofErr w:type="spellEnd"/>
      <w:r w:rsidRPr="004C0798">
        <w:rPr>
          <w:rFonts w:asciiTheme="majorHAnsi" w:hAnsiTheme="majorHAnsi" w:cstheme="majorHAnsi"/>
          <w:b/>
          <w:color w:val="808080" w:themeColor="background1" w:themeShade="80"/>
          <w:sz w:val="20"/>
          <w:szCs w:val="20"/>
        </w:rPr>
        <w:t xml:space="preserve">? </w:t>
      </w:r>
    </w:p>
    <w:p w14:paraId="670D6B05"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If</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please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specify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r w:rsidRPr="004C0798">
        <w:rPr>
          <w:rFonts w:asciiTheme="majorHAnsi" w:hAnsiTheme="majorHAnsi" w:cstheme="majorHAnsi"/>
          <w:b/>
          <w:color w:val="808080" w:themeColor="background1" w:themeShade="80"/>
          <w:sz w:val="20"/>
          <w:szCs w:val="20"/>
        </w:rPr>
        <w:tab/>
        <w:t xml:space="preserve">Yes/No –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w:t>
      </w:r>
    </w:p>
    <w:p w14:paraId="08CF9B5A"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W w:w="908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4992"/>
      </w:tblGrid>
      <w:tr w:rsidR="001A230B" w:rsidRPr="004C0798" w14:paraId="61FAE4C3" w14:textId="77777777" w:rsidTr="00861438">
        <w:trPr>
          <w:trHeight w:val="300"/>
        </w:trPr>
        <w:tc>
          <w:tcPr>
            <w:tcW w:w="4095" w:type="dxa"/>
            <w:shd w:val="clear" w:color="auto" w:fill="auto"/>
            <w:vAlign w:val="center"/>
          </w:tcPr>
          <w:p w14:paraId="1F877AD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2B7FD42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4F084C3C" w14:textId="77777777" w:rsidTr="00861438">
        <w:trPr>
          <w:trHeight w:val="300"/>
        </w:trPr>
        <w:tc>
          <w:tcPr>
            <w:tcW w:w="4095" w:type="dxa"/>
            <w:shd w:val="clear" w:color="auto" w:fill="auto"/>
            <w:vAlign w:val="center"/>
          </w:tcPr>
          <w:p w14:paraId="7126EBB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strike/>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1"/>
            </w:r>
          </w:p>
        </w:tc>
        <w:tc>
          <w:tcPr>
            <w:tcW w:w="4992" w:type="dxa"/>
            <w:vAlign w:val="center"/>
          </w:tcPr>
          <w:p w14:paraId="7D2D0A3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43EDD83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168D8A8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4C7227CD" w14:textId="77777777" w:rsidTr="00861438">
        <w:trPr>
          <w:trHeight w:val="300"/>
        </w:trPr>
        <w:tc>
          <w:tcPr>
            <w:tcW w:w="4095" w:type="dxa"/>
            <w:shd w:val="clear" w:color="auto" w:fill="auto"/>
            <w:vAlign w:val="center"/>
          </w:tcPr>
          <w:p w14:paraId="0C6188E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Indicator </w:t>
            </w:r>
            <w:proofErr w:type="spellStart"/>
            <w:r w:rsidRPr="004C0798">
              <w:rPr>
                <w:rFonts w:asciiTheme="majorHAnsi" w:hAnsiTheme="majorHAnsi" w:cstheme="majorHAnsi"/>
                <w:color w:val="808080" w:themeColor="background1" w:themeShade="80"/>
                <w:sz w:val="20"/>
                <w:szCs w:val="20"/>
              </w:rPr>
              <w:t>name</w:t>
            </w:r>
            <w:proofErr w:type="spellEnd"/>
            <w:r w:rsidRPr="004C0798">
              <w:rPr>
                <w:rFonts w:asciiTheme="majorHAnsi" w:hAnsiTheme="majorHAnsi" w:cstheme="majorHAnsi"/>
                <w:color w:val="808080" w:themeColor="background1" w:themeShade="80"/>
                <w:sz w:val="20"/>
                <w:szCs w:val="20"/>
                <w:vertAlign w:val="superscript"/>
              </w:rPr>
              <w:footnoteReference w:id="12"/>
            </w:r>
          </w:p>
        </w:tc>
        <w:tc>
          <w:tcPr>
            <w:tcW w:w="4992" w:type="dxa"/>
            <w:vAlign w:val="center"/>
          </w:tcPr>
          <w:p w14:paraId="14CE612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31BBF056" w14:textId="77777777" w:rsidTr="00861438">
        <w:trPr>
          <w:trHeight w:val="300"/>
        </w:trPr>
        <w:tc>
          <w:tcPr>
            <w:tcW w:w="4095" w:type="dxa"/>
            <w:shd w:val="clear" w:color="auto" w:fill="auto"/>
            <w:vAlign w:val="center"/>
          </w:tcPr>
          <w:p w14:paraId="526DCF5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w:t>
            </w:r>
          </w:p>
        </w:tc>
        <w:tc>
          <w:tcPr>
            <w:tcW w:w="4992" w:type="dxa"/>
            <w:vAlign w:val="center"/>
          </w:tcPr>
          <w:p w14:paraId="59B93891"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689FF484" w14:textId="77777777" w:rsidTr="00861438">
        <w:trPr>
          <w:trHeight w:val="300"/>
        </w:trPr>
        <w:tc>
          <w:tcPr>
            <w:tcW w:w="4095" w:type="dxa"/>
            <w:shd w:val="clear" w:color="auto" w:fill="auto"/>
            <w:vAlign w:val="center"/>
          </w:tcPr>
          <w:p w14:paraId="11FFEF0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2281CCF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4D0EA903" w14:textId="77777777" w:rsidTr="00861438">
        <w:trPr>
          <w:trHeight w:val="300"/>
        </w:trPr>
        <w:tc>
          <w:tcPr>
            <w:tcW w:w="4095" w:type="dxa"/>
            <w:shd w:val="clear" w:color="auto" w:fill="auto"/>
            <w:vAlign w:val="center"/>
          </w:tcPr>
          <w:p w14:paraId="5B746A48"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w:t>
            </w:r>
            <w:proofErr w:type="spellStart"/>
            <w:r w:rsidRPr="004C0798">
              <w:rPr>
                <w:rFonts w:asciiTheme="majorHAnsi" w:hAnsiTheme="majorHAnsi" w:cstheme="majorHAnsi"/>
                <w:color w:val="808080" w:themeColor="background1" w:themeShade="80"/>
                <w:sz w:val="20"/>
                <w:szCs w:val="20"/>
              </w:rPr>
              <w:t>Amount</w:t>
            </w:r>
            <w:proofErr w:type="spellEnd"/>
          </w:p>
        </w:tc>
        <w:tc>
          <w:tcPr>
            <w:tcW w:w="4992" w:type="dxa"/>
            <w:vAlign w:val="center"/>
          </w:tcPr>
          <w:p w14:paraId="1C1E2F70"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20C4ED61" w14:textId="77777777" w:rsidTr="00861438">
        <w:trPr>
          <w:trHeight w:val="300"/>
        </w:trPr>
        <w:tc>
          <w:tcPr>
            <w:tcW w:w="4095" w:type="dxa"/>
            <w:shd w:val="clear" w:color="auto" w:fill="auto"/>
            <w:vAlign w:val="center"/>
          </w:tcPr>
          <w:p w14:paraId="4676C350"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552FAB21"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3E5A18A3" w14:textId="77777777" w:rsidTr="00861438">
        <w:trPr>
          <w:trHeight w:val="300"/>
        </w:trPr>
        <w:tc>
          <w:tcPr>
            <w:tcW w:w="4095" w:type="dxa"/>
            <w:shd w:val="clear" w:color="auto" w:fill="auto"/>
            <w:vAlign w:val="center"/>
          </w:tcPr>
          <w:p w14:paraId="3DD3544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Do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for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(Y/N)</w:t>
            </w:r>
          </w:p>
        </w:tc>
        <w:tc>
          <w:tcPr>
            <w:tcW w:w="4992" w:type="dxa"/>
            <w:vAlign w:val="center"/>
          </w:tcPr>
          <w:p w14:paraId="6F55819B"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r w:rsidR="001A230B" w:rsidRPr="004C0798" w14:paraId="034C8FFC" w14:textId="77777777" w:rsidTr="00861438">
        <w:trPr>
          <w:trHeight w:val="300"/>
        </w:trPr>
        <w:tc>
          <w:tcPr>
            <w:tcW w:w="4095" w:type="dxa"/>
            <w:shd w:val="clear" w:color="auto" w:fill="auto"/>
            <w:vAlign w:val="center"/>
          </w:tcPr>
          <w:p w14:paraId="216FEC7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5DCFADD4"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2D118C9E" w14:textId="77777777" w:rsidTr="00861438">
        <w:trPr>
          <w:trHeight w:val="300"/>
        </w:trPr>
        <w:tc>
          <w:tcPr>
            <w:tcW w:w="4095" w:type="dxa"/>
            <w:shd w:val="clear" w:color="auto" w:fill="auto"/>
            <w:vAlign w:val="center"/>
          </w:tcPr>
          <w:p w14:paraId="2B3C749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w:t>
            </w:r>
          </w:p>
          <w:p w14:paraId="4951879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p>
          <w:p w14:paraId="57CCA32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 xml:space="preserve">  </w:t>
            </w:r>
          </w:p>
          <w:p w14:paraId="609CA29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there</w:t>
            </w:r>
            <w:proofErr w:type="spellEnd"/>
            <w:r w:rsidRPr="004C0798">
              <w:rPr>
                <w:rFonts w:asciiTheme="majorHAnsi" w:hAnsiTheme="majorHAnsi" w:cstheme="majorHAnsi"/>
                <w:color w:val="808080" w:themeColor="background1" w:themeShade="80"/>
                <w:sz w:val="20"/>
                <w:szCs w:val="20"/>
              </w:rPr>
              <w:t xml:space="preserve"> are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p>
        </w:tc>
        <w:tc>
          <w:tcPr>
            <w:tcW w:w="4992" w:type="dxa"/>
            <w:vAlign w:val="center"/>
          </w:tcPr>
          <w:p w14:paraId="7416E30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102E56E5" w14:textId="77777777" w:rsidTr="00861438">
        <w:trPr>
          <w:trHeight w:val="300"/>
        </w:trPr>
        <w:tc>
          <w:tcPr>
            <w:tcW w:w="4095" w:type="dxa"/>
            <w:shd w:val="clear" w:color="auto" w:fill="auto"/>
            <w:vAlign w:val="center"/>
          </w:tcPr>
          <w:p w14:paraId="154C5F0B"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Possible</w:t>
            </w:r>
            <w:proofErr w:type="spellEnd"/>
            <w:r w:rsidRPr="004C0798">
              <w:rPr>
                <w:rFonts w:asciiTheme="majorHAnsi" w:hAnsiTheme="majorHAnsi" w:cstheme="majorHAnsi"/>
                <w:color w:val="808080" w:themeColor="background1" w:themeShade="80"/>
                <w:sz w:val="20"/>
                <w:szCs w:val="20"/>
              </w:rPr>
              <w:t xml:space="preserve"> perverse </w:t>
            </w:r>
            <w:proofErr w:type="spellStart"/>
            <w:r w:rsidRPr="004C0798">
              <w:rPr>
                <w:rFonts w:asciiTheme="majorHAnsi" w:hAnsiTheme="majorHAnsi" w:cstheme="majorHAnsi"/>
                <w:color w:val="808080" w:themeColor="background1" w:themeShade="80"/>
                <w:sz w:val="20"/>
                <w:szCs w:val="20"/>
              </w:rPr>
              <w:t>incentives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problems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indicator,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mitigated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estimated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level</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risk</w:t>
            </w:r>
            <w:proofErr w:type="spellEnd"/>
          </w:p>
        </w:tc>
        <w:tc>
          <w:tcPr>
            <w:tcW w:w="4992" w:type="dxa"/>
            <w:vAlign w:val="center"/>
          </w:tcPr>
          <w:p w14:paraId="2DE6F41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480BFDB7" w14:textId="77777777" w:rsidTr="00861438">
        <w:trPr>
          <w:trHeight w:val="300"/>
        </w:trPr>
        <w:tc>
          <w:tcPr>
            <w:tcW w:w="4095" w:type="dxa"/>
            <w:shd w:val="clear" w:color="auto" w:fill="auto"/>
            <w:vAlign w:val="center"/>
          </w:tcPr>
          <w:p w14:paraId="5CC8486F"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1.12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expected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0A8FC1D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bl>
    <w:p w14:paraId="0F11408E"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p>
    <w:p w14:paraId="23E650B8"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p>
    <w:p w14:paraId="55B3611C"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t xml:space="preserve">C: </w:t>
      </w:r>
      <w:proofErr w:type="spellStart"/>
      <w:r w:rsidRPr="004C0798">
        <w:rPr>
          <w:rFonts w:asciiTheme="majorHAnsi" w:hAnsiTheme="majorHAnsi" w:cstheme="majorHAnsi"/>
          <w:b/>
          <w:color w:val="808080" w:themeColor="background1" w:themeShade="80"/>
          <w:sz w:val="20"/>
          <w:szCs w:val="20"/>
          <w:u w:val="single"/>
        </w:rPr>
        <w:t>Calculation</w:t>
      </w:r>
      <w:proofErr w:type="spellEnd"/>
      <w:r w:rsidRPr="004C0798">
        <w:rPr>
          <w:rFonts w:asciiTheme="majorHAnsi" w:hAnsiTheme="majorHAnsi" w:cstheme="majorHAnsi"/>
          <w:b/>
          <w:color w:val="808080" w:themeColor="background1" w:themeShade="80"/>
          <w:sz w:val="20"/>
          <w:szCs w:val="20"/>
          <w:u w:val="single"/>
        </w:rPr>
        <w:t xml:space="preserve"> of the standard scale of unit </w:t>
      </w:r>
      <w:proofErr w:type="spellStart"/>
      <w:r w:rsidRPr="004C0798">
        <w:rPr>
          <w:rFonts w:asciiTheme="majorHAnsi" w:hAnsiTheme="majorHAnsi" w:cstheme="majorHAnsi"/>
          <w:b/>
          <w:color w:val="808080" w:themeColor="background1" w:themeShade="80"/>
          <w:sz w:val="20"/>
          <w:szCs w:val="20"/>
          <w:u w:val="single"/>
        </w:rPr>
        <w:t>costs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lump</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sums</w:t>
      </w:r>
      <w:proofErr w:type="spellEnd"/>
      <w:r w:rsidRPr="004C0798">
        <w:rPr>
          <w:rFonts w:asciiTheme="majorHAnsi" w:hAnsiTheme="majorHAnsi" w:cstheme="majorHAnsi"/>
          <w:b/>
          <w:color w:val="808080" w:themeColor="background1" w:themeShade="80"/>
          <w:sz w:val="20"/>
          <w:szCs w:val="20"/>
          <w:u w:val="single"/>
        </w:rPr>
        <w:t xml:space="preserve"> or </w:t>
      </w:r>
      <w:proofErr w:type="spellStart"/>
      <w:r w:rsidRPr="004C0798">
        <w:rPr>
          <w:rFonts w:asciiTheme="majorHAnsi" w:hAnsiTheme="majorHAnsi" w:cstheme="majorHAnsi"/>
          <w:b/>
          <w:color w:val="808080" w:themeColor="background1" w:themeShade="80"/>
          <w:sz w:val="20"/>
          <w:szCs w:val="20"/>
          <w:u w:val="single"/>
        </w:rPr>
        <w:t>flat</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rates</w:t>
      </w:r>
      <w:proofErr w:type="spellEnd"/>
      <w:r w:rsidRPr="004C0798">
        <w:rPr>
          <w:rFonts w:asciiTheme="majorHAnsi" w:hAnsiTheme="majorHAnsi" w:cstheme="majorHAnsi"/>
          <w:b/>
          <w:i/>
          <w:color w:val="808080" w:themeColor="background1" w:themeShade="80"/>
          <w:sz w:val="20"/>
          <w:szCs w:val="20"/>
          <w:u w:val="single"/>
        </w:rPr>
        <w:t>*</w:t>
      </w:r>
    </w:p>
    <w:p w14:paraId="5DA146D6"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1.</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Source</w:t>
      </w:r>
      <w:proofErr w:type="spellEnd"/>
      <w:r w:rsidRPr="004C0798">
        <w:rPr>
          <w:rFonts w:asciiTheme="majorHAnsi" w:hAnsiTheme="majorHAnsi" w:cstheme="majorHAnsi"/>
          <w:color w:val="808080" w:themeColor="background1" w:themeShade="80"/>
          <w:sz w:val="20"/>
          <w:szCs w:val="20"/>
        </w:rPr>
        <w:t xml:space="preserve"> of data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calculate the standard scale of unit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produced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recorded</w:t>
      </w:r>
      <w:proofErr w:type="spellEnd"/>
      <w:r w:rsidRPr="004C0798">
        <w:rPr>
          <w:rFonts w:asciiTheme="majorHAnsi" w:hAnsiTheme="majorHAnsi" w:cstheme="majorHAnsi"/>
          <w:color w:val="808080" w:themeColor="background1" w:themeShade="80"/>
          <w:sz w:val="20"/>
          <w:szCs w:val="20"/>
        </w:rPr>
        <w:t xml:space="preserve"> the data;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the data are </w:t>
      </w:r>
      <w:proofErr w:type="spellStart"/>
      <w:r w:rsidRPr="004C0798">
        <w:rPr>
          <w:rFonts w:asciiTheme="majorHAnsi" w:hAnsiTheme="majorHAnsi" w:cstheme="majorHAnsi"/>
          <w:color w:val="808080" w:themeColor="background1" w:themeShade="80"/>
          <w:sz w:val="20"/>
          <w:szCs w:val="20"/>
        </w:rPr>
        <w:t>stored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cut</w:t>
      </w:r>
      <w:proofErr w:type="spellEnd"/>
      <w:r w:rsidRPr="004C0798">
        <w:rPr>
          <w:rFonts w:asciiTheme="majorHAnsi" w:hAnsiTheme="majorHAnsi" w:cstheme="majorHAnsi"/>
          <w:color w:val="808080" w:themeColor="background1" w:themeShade="80"/>
          <w:sz w:val="20"/>
          <w:szCs w:val="20"/>
        </w:rPr>
        <w:t xml:space="preserve">-off </w:t>
      </w:r>
      <w:proofErr w:type="spellStart"/>
      <w:r w:rsidRPr="004C0798">
        <w:rPr>
          <w:rFonts w:asciiTheme="majorHAnsi" w:hAnsiTheme="majorHAnsi" w:cstheme="majorHAnsi"/>
          <w:color w:val="808080" w:themeColor="background1" w:themeShade="80"/>
          <w:sz w:val="20"/>
          <w:szCs w:val="20"/>
        </w:rPr>
        <w:t>dates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validation</w:t>
      </w:r>
      <w:proofErr w:type="spellEnd"/>
      <w:r w:rsidRPr="004C0798">
        <w:rPr>
          <w:rFonts w:asciiTheme="majorHAnsi" w:hAnsiTheme="majorHAnsi" w:cstheme="majorHAnsi"/>
          <w:color w:val="808080" w:themeColor="background1" w:themeShade="80"/>
          <w:sz w:val="20"/>
          <w:szCs w:val="20"/>
        </w:rPr>
        <w:t>, etc.).</w:t>
      </w:r>
    </w:p>
    <w:p w14:paraId="0F276D84" w14:textId="77777777" w:rsidR="001A230B" w:rsidRPr="004C0798" w:rsidRDefault="001A230B" w:rsidP="001A230B">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76A11866"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2.</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p w14:paraId="1D31EAC8" w14:textId="77777777" w:rsidR="001A230B" w:rsidRPr="004C0798" w:rsidRDefault="001A230B" w:rsidP="001A230B">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1F08B986"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3.</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calculations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were</w:t>
      </w:r>
      <w:proofErr w:type="spellEnd"/>
      <w:r w:rsidRPr="004C0798">
        <w:rPr>
          <w:rFonts w:asciiTheme="majorHAnsi" w:hAnsiTheme="majorHAnsi" w:cstheme="majorHAnsi"/>
          <w:color w:val="808080" w:themeColor="background1" w:themeShade="80"/>
          <w:sz w:val="20"/>
          <w:szCs w:val="20"/>
        </w:rPr>
        <w:t xml:space="preserve"> made, in particular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assumptions</w:t>
      </w:r>
      <w:proofErr w:type="spellEnd"/>
      <w:r w:rsidRPr="004C0798">
        <w:rPr>
          <w:rFonts w:asciiTheme="majorHAnsi" w:hAnsiTheme="majorHAnsi" w:cstheme="majorHAnsi"/>
          <w:color w:val="808080" w:themeColor="background1" w:themeShade="80"/>
          <w:sz w:val="20"/>
          <w:szCs w:val="20"/>
        </w:rPr>
        <w:t xml:space="preserve"> made in </w:t>
      </w:r>
      <w:proofErr w:type="spellStart"/>
      <w:r w:rsidRPr="004C0798">
        <w:rPr>
          <w:rFonts w:asciiTheme="majorHAnsi" w:hAnsiTheme="majorHAnsi" w:cstheme="majorHAnsi"/>
          <w:color w:val="808080" w:themeColor="background1" w:themeShade="80"/>
          <w:sz w:val="20"/>
          <w:szCs w:val="20"/>
        </w:rPr>
        <w:t>terms</w:t>
      </w:r>
      <w:proofErr w:type="spellEnd"/>
      <w:r w:rsidRPr="004C0798">
        <w:rPr>
          <w:rFonts w:asciiTheme="majorHAnsi" w:hAnsiTheme="majorHAnsi" w:cstheme="majorHAnsi"/>
          <w:color w:val="808080" w:themeColor="background1" w:themeShade="80"/>
          <w:sz w:val="20"/>
          <w:szCs w:val="20"/>
        </w:rPr>
        <w:t xml:space="preserve"> of quality or </w:t>
      </w:r>
      <w:proofErr w:type="spellStart"/>
      <w:r w:rsidRPr="004C0798">
        <w:rPr>
          <w:rFonts w:asciiTheme="majorHAnsi" w:hAnsiTheme="majorHAnsi" w:cstheme="majorHAnsi"/>
          <w:color w:val="808080" w:themeColor="background1" w:themeShade="80"/>
          <w:sz w:val="20"/>
          <w:szCs w:val="20"/>
        </w:rPr>
        <w:t>quantities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statistical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evidence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benchmarks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should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attached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annex</w:t>
      </w:r>
      <w:proofErr w:type="spellEnd"/>
      <w:r w:rsidRPr="004C0798">
        <w:rPr>
          <w:rFonts w:asciiTheme="majorHAnsi" w:hAnsiTheme="majorHAnsi" w:cstheme="majorHAnsi"/>
          <w:color w:val="808080" w:themeColor="background1" w:themeShade="80"/>
          <w:sz w:val="20"/>
          <w:szCs w:val="20"/>
        </w:rPr>
        <w:t xml:space="preserve"> in a format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
    <w:p w14:paraId="2CC20C5E" w14:textId="77777777" w:rsidR="001A230B" w:rsidRPr="004C0798" w:rsidRDefault="001A230B" w:rsidP="001A230B">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2B613EF4"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4</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explain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you</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have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only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was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included</w:t>
      </w:r>
      <w:proofErr w:type="spellEnd"/>
      <w:r w:rsidRPr="004C0798">
        <w:rPr>
          <w:rFonts w:asciiTheme="majorHAnsi" w:hAnsiTheme="majorHAnsi" w:cstheme="majorHAnsi"/>
          <w:color w:val="808080" w:themeColor="background1" w:themeShade="80"/>
          <w:sz w:val="20"/>
          <w:szCs w:val="20"/>
        </w:rPr>
        <w:t xml:space="preserve"> in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of the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p w14:paraId="4CB8D116" w14:textId="77777777" w:rsidR="001A230B" w:rsidRPr="004C0798" w:rsidRDefault="001A230B" w:rsidP="001A230B">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693A068A"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5</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Assessment</w:t>
      </w:r>
      <w:proofErr w:type="spellEnd"/>
      <w:r w:rsidRPr="004C0798">
        <w:rPr>
          <w:rFonts w:asciiTheme="majorHAnsi" w:hAnsiTheme="majorHAnsi" w:cstheme="majorHAnsi"/>
          <w:color w:val="808080" w:themeColor="background1" w:themeShade="80"/>
          <w:sz w:val="20"/>
          <w:szCs w:val="20"/>
        </w:rPr>
        <w:t xml:space="preserve"> of the audit </w:t>
      </w:r>
      <w:proofErr w:type="spellStart"/>
      <w:r w:rsidRPr="004C0798">
        <w:rPr>
          <w:rFonts w:asciiTheme="majorHAnsi" w:hAnsiTheme="majorHAnsi" w:cstheme="majorHAnsi"/>
          <w:color w:val="808080" w:themeColor="background1" w:themeShade="80"/>
          <w:sz w:val="20"/>
          <w:szCs w:val="20"/>
        </w:rPr>
        <w:t>authority</w:t>
      </w:r>
      <w:proofErr w:type="spellEnd"/>
      <w:r w:rsidRPr="004C0798">
        <w:rPr>
          <w:rFonts w:asciiTheme="majorHAnsi" w:hAnsiTheme="majorHAnsi" w:cstheme="majorHAnsi"/>
          <w:color w:val="808080" w:themeColor="background1" w:themeShade="80"/>
          <w:sz w:val="20"/>
          <w:szCs w:val="20"/>
        </w:rPr>
        <w:t xml:space="preserve">(ies) of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methodology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quality, </w:t>
      </w:r>
      <w:proofErr w:type="spellStart"/>
      <w:r w:rsidRPr="004C0798">
        <w:rPr>
          <w:rFonts w:asciiTheme="majorHAnsi" w:hAnsiTheme="majorHAnsi" w:cstheme="majorHAnsi"/>
          <w:color w:val="808080" w:themeColor="background1" w:themeShade="80"/>
          <w:sz w:val="20"/>
          <w:szCs w:val="20"/>
        </w:rPr>
        <w:t>collection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storage</w:t>
      </w:r>
      <w:proofErr w:type="spellEnd"/>
      <w:r w:rsidRPr="004C0798">
        <w:rPr>
          <w:rFonts w:asciiTheme="majorHAnsi" w:hAnsiTheme="majorHAnsi" w:cstheme="majorHAnsi"/>
          <w:color w:val="808080" w:themeColor="background1" w:themeShade="80"/>
          <w:sz w:val="20"/>
          <w:szCs w:val="20"/>
        </w:rPr>
        <w:t xml:space="preserve"> of data.</w:t>
      </w:r>
    </w:p>
    <w:p w14:paraId="7219DC42" w14:textId="77777777" w:rsidR="001A230B" w:rsidRPr="004C0798" w:rsidRDefault="001A230B" w:rsidP="001A230B">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6523C10B"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
    <w:p w14:paraId="27B1A095"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Justifications</w:t>
      </w:r>
      <w:proofErr w:type="spellEnd"/>
      <w:r w:rsidRPr="004C0798">
        <w:rPr>
          <w:rFonts w:asciiTheme="majorHAnsi" w:hAnsiTheme="majorHAnsi" w:cstheme="majorHAnsi"/>
          <w:i/>
          <w:color w:val="808080" w:themeColor="background1" w:themeShade="80"/>
          <w:sz w:val="20"/>
          <w:szCs w:val="20"/>
        </w:rPr>
        <w:t xml:space="preserve"> on the </w:t>
      </w:r>
      <w:proofErr w:type="spellStart"/>
      <w:r w:rsidRPr="004C0798">
        <w:rPr>
          <w:rFonts w:asciiTheme="majorHAnsi" w:hAnsiTheme="majorHAnsi" w:cstheme="majorHAnsi"/>
          <w:i/>
          <w:color w:val="808080" w:themeColor="background1" w:themeShade="80"/>
          <w:sz w:val="20"/>
          <w:szCs w:val="20"/>
        </w:rPr>
        <w:t>underlying</w:t>
      </w:r>
      <w:proofErr w:type="spellEnd"/>
      <w:r w:rsidRPr="004C0798">
        <w:rPr>
          <w:rFonts w:asciiTheme="majorHAnsi" w:hAnsiTheme="majorHAnsi" w:cstheme="majorHAnsi"/>
          <w:i/>
          <w:color w:val="808080" w:themeColor="background1" w:themeShade="80"/>
          <w:sz w:val="20"/>
          <w:szCs w:val="20"/>
        </w:rPr>
        <w:t xml:space="preserve"> data, the </w:t>
      </w:r>
      <w:proofErr w:type="spellStart"/>
      <w:r w:rsidRPr="004C0798">
        <w:rPr>
          <w:rFonts w:asciiTheme="majorHAnsi" w:hAnsiTheme="majorHAnsi" w:cstheme="majorHAnsi"/>
          <w:i/>
          <w:color w:val="808080" w:themeColor="background1" w:themeShade="80"/>
          <w:sz w:val="20"/>
          <w:szCs w:val="20"/>
        </w:rPr>
        <w:t>calculation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methodology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resulting</w:t>
      </w:r>
      <w:proofErr w:type="spellEnd"/>
      <w:r w:rsidRPr="004C0798">
        <w:rPr>
          <w:rFonts w:asciiTheme="majorHAnsi" w:hAnsiTheme="majorHAnsi" w:cstheme="majorHAnsi"/>
          <w:i/>
          <w:color w:val="808080" w:themeColor="background1" w:themeShade="80"/>
          <w:sz w:val="20"/>
          <w:szCs w:val="20"/>
        </w:rPr>
        <w:t xml:space="preserve"> rate or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related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assessment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the audit </w:t>
      </w:r>
      <w:proofErr w:type="spellStart"/>
      <w:r w:rsidRPr="004C0798">
        <w:rPr>
          <w:rFonts w:asciiTheme="majorHAnsi" w:hAnsiTheme="majorHAnsi" w:cstheme="majorHAnsi"/>
          <w:i/>
          <w:color w:val="808080" w:themeColor="background1" w:themeShade="80"/>
          <w:sz w:val="20"/>
          <w:szCs w:val="20"/>
        </w:rPr>
        <w:t>authority</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points</w:t>
      </w:r>
      <w:proofErr w:type="spellEnd"/>
      <w:r w:rsidRPr="004C0798">
        <w:rPr>
          <w:rFonts w:asciiTheme="majorHAnsi" w:hAnsiTheme="majorHAnsi" w:cstheme="majorHAnsi"/>
          <w:i/>
          <w:color w:val="808080" w:themeColor="background1" w:themeShade="80"/>
          <w:sz w:val="20"/>
          <w:szCs w:val="20"/>
        </w:rPr>
        <w:t xml:space="preserve"> 1, 3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5)]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required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when</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simplified</w:t>
      </w:r>
      <w:proofErr w:type="spellEnd"/>
      <w:r w:rsidRPr="004C0798">
        <w:rPr>
          <w:rFonts w:asciiTheme="majorHAnsi" w:hAnsiTheme="majorHAnsi" w:cstheme="majorHAnsi"/>
          <w:i/>
          <w:color w:val="808080" w:themeColor="background1" w:themeShade="80"/>
          <w:sz w:val="20"/>
          <w:szCs w:val="20"/>
        </w:rPr>
        <w:t xml:space="preserve"> cost </w:t>
      </w:r>
      <w:proofErr w:type="spellStart"/>
      <w:r w:rsidRPr="004C0798">
        <w:rPr>
          <w:rFonts w:asciiTheme="majorHAnsi" w:hAnsiTheme="majorHAnsi" w:cstheme="majorHAnsi"/>
          <w:i/>
          <w:color w:val="808080" w:themeColor="background1" w:themeShade="80"/>
          <w:sz w:val="20"/>
          <w:szCs w:val="20"/>
        </w:rPr>
        <w:t>options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submitted</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this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established</w:t>
      </w:r>
      <w:proofErr w:type="spellEnd"/>
      <w:r w:rsidRPr="004C0798">
        <w:rPr>
          <w:rFonts w:asciiTheme="majorHAnsi" w:hAnsiTheme="majorHAnsi" w:cstheme="majorHAnsi"/>
          <w:i/>
          <w:color w:val="808080" w:themeColor="background1" w:themeShade="80"/>
          <w:sz w:val="20"/>
          <w:szCs w:val="20"/>
        </w:rPr>
        <w:t xml:space="preserve"> at Union </w:t>
      </w:r>
      <w:proofErr w:type="spellStart"/>
      <w:r w:rsidRPr="004C0798">
        <w:rPr>
          <w:rFonts w:asciiTheme="majorHAnsi" w:hAnsiTheme="majorHAnsi" w:cstheme="majorHAnsi"/>
          <w:i/>
          <w:color w:val="808080" w:themeColor="background1" w:themeShade="80"/>
          <w:sz w:val="20"/>
          <w:szCs w:val="20"/>
        </w:rPr>
        <w:t>level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other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policies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through</w:t>
      </w:r>
      <w:proofErr w:type="spellEnd"/>
      <w:r w:rsidRPr="004C0798">
        <w:rPr>
          <w:rFonts w:asciiTheme="majorHAnsi" w:hAnsiTheme="majorHAnsi" w:cstheme="majorHAnsi"/>
          <w:i/>
          <w:color w:val="808080" w:themeColor="background1" w:themeShade="80"/>
          <w:sz w:val="20"/>
          <w:szCs w:val="20"/>
        </w:rPr>
        <w:t xml:space="preserve"> the DA </w:t>
      </w:r>
      <w:proofErr w:type="spellStart"/>
      <w:r w:rsidRPr="004C0798">
        <w:rPr>
          <w:rFonts w:asciiTheme="majorHAnsi" w:hAnsiTheme="majorHAnsi" w:cstheme="majorHAnsi"/>
          <w:i/>
          <w:color w:val="808080" w:themeColor="background1" w:themeShade="80"/>
          <w:sz w:val="20"/>
          <w:szCs w:val="20"/>
        </w:rPr>
        <w:t>referred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88(4)].</w:t>
      </w:r>
    </w:p>
    <w:p w14:paraId="646A48F2"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5C7D5D6E"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2:</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13"/>
      </w:r>
    </w:p>
    <w:p w14:paraId="507625EB" w14:textId="77777777" w:rsidR="001A230B" w:rsidRPr="004C0798" w:rsidRDefault="001A230B" w:rsidP="001A230B">
      <w:pPr>
        <w:spacing w:after="120" w:line="240" w:lineRule="auto"/>
        <w:jc w:val="center"/>
        <w:rPr>
          <w:rFonts w:asciiTheme="majorHAnsi" w:hAnsiTheme="majorHAnsi" w:cstheme="majorHAnsi"/>
          <w:b/>
          <w:color w:val="808080" w:themeColor="background1" w:themeShade="80"/>
          <w:sz w:val="20"/>
          <w:szCs w:val="20"/>
          <w:u w:val="single"/>
        </w:rPr>
      </w:pPr>
    </w:p>
    <w:p w14:paraId="5F9983DB" w14:textId="77777777" w:rsidR="001A230B" w:rsidRPr="004C0798" w:rsidRDefault="001A230B" w:rsidP="001A230B">
      <w:pPr>
        <w:spacing w:after="120" w:line="240" w:lineRule="auto"/>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1F646072" w14:textId="77777777" w:rsidR="001A230B" w:rsidRPr="004C0798" w:rsidRDefault="001A230B" w:rsidP="001A230B">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89)</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6"/>
        <w:gridCol w:w="4516"/>
      </w:tblGrid>
      <w:tr w:rsidR="001A230B" w:rsidRPr="004C0798" w14:paraId="739DD8E6" w14:textId="77777777" w:rsidTr="00861438">
        <w:tc>
          <w:tcPr>
            <w:tcW w:w="4546" w:type="dxa"/>
            <w:shd w:val="clear" w:color="auto" w:fill="auto"/>
          </w:tcPr>
          <w:p w14:paraId="68D4C0D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516" w:type="dxa"/>
            <w:shd w:val="clear" w:color="auto" w:fill="auto"/>
          </w:tcPr>
          <w:p w14:paraId="44F7DB1E"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450F6225" w14:textId="77777777" w:rsidTr="00861438">
        <w:tc>
          <w:tcPr>
            <w:tcW w:w="4546" w:type="dxa"/>
            <w:shd w:val="clear" w:color="auto" w:fill="auto"/>
          </w:tcPr>
          <w:p w14:paraId="0996E8F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516" w:type="dxa"/>
            <w:shd w:val="clear" w:color="auto" w:fill="auto"/>
          </w:tcPr>
          <w:p w14:paraId="7D7322E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bl>
    <w:p w14:paraId="7A34F816" w14:textId="77777777" w:rsidR="001A230B" w:rsidRPr="004C0798" w:rsidRDefault="001A230B" w:rsidP="001A230B">
      <w:pPr>
        <w:spacing w:after="120" w:line="240" w:lineRule="auto"/>
        <w:jc w:val="center"/>
        <w:rPr>
          <w:rFonts w:asciiTheme="majorHAnsi" w:hAnsiTheme="majorHAnsi" w:cstheme="majorHAnsi"/>
          <w:b/>
          <w:i/>
          <w:color w:val="808080" w:themeColor="background1" w:themeShade="80"/>
          <w:sz w:val="20"/>
          <w:szCs w:val="20"/>
        </w:rPr>
        <w:sectPr w:rsidR="001A230B" w:rsidRPr="004C0798" w:rsidSect="004C0798">
          <w:headerReference w:type="even" r:id="rId19"/>
          <w:headerReference w:type="default" r:id="rId20"/>
          <w:footerReference w:type="even" r:id="rId21"/>
          <w:footerReference w:type="default" r:id="rId22"/>
          <w:headerReference w:type="first" r:id="rId23"/>
          <w:footerReference w:type="first" r:id="rId24"/>
          <w:pgSz w:w="11906" w:h="16838" w:code="9"/>
          <w:pgMar w:top="567" w:right="1134" w:bottom="567" w:left="1134" w:header="567" w:footer="567" w:gutter="0"/>
          <w:cols w:space="708"/>
        </w:sectPr>
      </w:pPr>
    </w:p>
    <w:p w14:paraId="5D1E4B3E"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873"/>
        <w:gridCol w:w="958"/>
        <w:gridCol w:w="1535"/>
        <w:gridCol w:w="1569"/>
        <w:gridCol w:w="598"/>
        <w:gridCol w:w="1026"/>
        <w:gridCol w:w="1158"/>
        <w:gridCol w:w="1176"/>
      </w:tblGrid>
      <w:tr w:rsidR="001A230B" w:rsidRPr="004C0798" w14:paraId="491342AF" w14:textId="77777777" w:rsidTr="00861438">
        <w:trPr>
          <w:jc w:val="center"/>
        </w:trPr>
        <w:tc>
          <w:tcPr>
            <w:tcW w:w="1026" w:type="dxa"/>
          </w:tcPr>
          <w:p w14:paraId="6E396F0C"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14"/>
            </w:r>
          </w:p>
        </w:tc>
        <w:tc>
          <w:tcPr>
            <w:tcW w:w="1243" w:type="dxa"/>
          </w:tcPr>
          <w:p w14:paraId="2C662449"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15"/>
            </w:r>
          </w:p>
        </w:tc>
        <w:tc>
          <w:tcPr>
            <w:tcW w:w="1378" w:type="dxa"/>
          </w:tcPr>
          <w:p w14:paraId="658AC0FC"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The </w:t>
            </w:r>
            <w:proofErr w:type="spellStart"/>
            <w:r w:rsidRPr="004C0798">
              <w:rPr>
                <w:rFonts w:asciiTheme="majorHAnsi" w:hAnsiTheme="majorHAnsi" w:cstheme="majorHAnsi"/>
                <w:b/>
                <w:i/>
                <w:color w:val="808080" w:themeColor="background1" w:themeShade="80"/>
                <w:sz w:val="20"/>
                <w:szCs w:val="20"/>
              </w:rPr>
              <w:t>amount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covered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by</w:t>
            </w:r>
            <w:proofErr w:type="spellEnd"/>
            <w:r w:rsidRPr="004C0798">
              <w:rPr>
                <w:rFonts w:asciiTheme="majorHAnsi" w:hAnsiTheme="majorHAnsi" w:cstheme="majorHAnsi"/>
                <w:b/>
                <w:i/>
                <w:color w:val="808080" w:themeColor="background1" w:themeShade="80"/>
                <w:sz w:val="20"/>
                <w:szCs w:val="20"/>
              </w:rPr>
              <w:t xml:space="preserve"> the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p>
        </w:tc>
        <w:tc>
          <w:tcPr>
            <w:tcW w:w="2291" w:type="dxa"/>
            <w:shd w:val="clear" w:color="auto" w:fill="auto"/>
          </w:tcPr>
          <w:p w14:paraId="171A73CB"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344" w:type="dxa"/>
          </w:tcPr>
          <w:p w14:paraId="6CD8E9F7"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fulfilled</w:t>
            </w:r>
            <w:proofErr w:type="spellEnd"/>
            <w:r w:rsidRPr="004C0798">
              <w:rPr>
                <w:rFonts w:asciiTheme="majorHAnsi" w:hAnsiTheme="majorHAnsi" w:cstheme="majorHAnsi"/>
                <w:b/>
                <w:color w:val="808080" w:themeColor="background1" w:themeShade="80"/>
                <w:sz w:val="20"/>
                <w:szCs w:val="20"/>
              </w:rPr>
              <w:t>/</w:t>
            </w:r>
            <w:proofErr w:type="spellStart"/>
            <w:r w:rsidRPr="004C0798">
              <w:rPr>
                <w:rFonts w:asciiTheme="majorHAnsi" w:hAnsiTheme="majorHAnsi" w:cstheme="majorHAnsi"/>
                <w:b/>
                <w:color w:val="808080" w:themeColor="background1" w:themeShade="80"/>
                <w:sz w:val="20"/>
                <w:szCs w:val="20"/>
              </w:rPr>
              <w:t>results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achieved</w:t>
            </w:r>
            <w:proofErr w:type="spellEnd"/>
          </w:p>
        </w:tc>
        <w:tc>
          <w:tcPr>
            <w:tcW w:w="2294" w:type="dxa"/>
            <w:gridSpan w:val="2"/>
            <w:shd w:val="clear" w:color="auto" w:fill="auto"/>
          </w:tcPr>
          <w:p w14:paraId="5894A3E9"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695" w:type="dxa"/>
            <w:shd w:val="clear" w:color="auto" w:fill="auto"/>
          </w:tcPr>
          <w:p w14:paraId="59611329" w14:textId="77777777" w:rsidR="001A230B" w:rsidRPr="004C0798" w:rsidRDefault="001A230B"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723" w:type="dxa"/>
          </w:tcPr>
          <w:p w14:paraId="7C28ECD9"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Envisaged</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reimbursement</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to</w:t>
            </w:r>
            <w:proofErr w:type="spellEnd"/>
            <w:r w:rsidRPr="004C0798">
              <w:rPr>
                <w:rFonts w:asciiTheme="majorHAnsi" w:hAnsiTheme="majorHAnsi" w:cstheme="majorHAnsi"/>
                <w:b/>
                <w:i/>
                <w:color w:val="808080" w:themeColor="background1" w:themeShade="80"/>
                <w:sz w:val="20"/>
                <w:szCs w:val="20"/>
                <w:u w:val="single"/>
              </w:rPr>
              <w:t xml:space="preserve"> the </w:t>
            </w:r>
            <w:proofErr w:type="spellStart"/>
            <w:r w:rsidRPr="004C0798">
              <w:rPr>
                <w:rFonts w:asciiTheme="majorHAnsi" w:hAnsiTheme="majorHAnsi" w:cstheme="majorHAnsi"/>
                <w:b/>
                <w:i/>
                <w:color w:val="808080" w:themeColor="background1" w:themeShade="80"/>
                <w:sz w:val="20"/>
                <w:szCs w:val="20"/>
                <w:u w:val="single"/>
              </w:rPr>
              <w:t>beneficiaries</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16"/>
            </w:r>
          </w:p>
        </w:tc>
      </w:tr>
      <w:tr w:rsidR="001A230B" w:rsidRPr="004C0798" w14:paraId="44C4648F" w14:textId="77777777" w:rsidTr="00861438">
        <w:trPr>
          <w:jc w:val="center"/>
        </w:trPr>
        <w:tc>
          <w:tcPr>
            <w:tcW w:w="1026" w:type="dxa"/>
          </w:tcPr>
          <w:p w14:paraId="02F2052D"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19BD3B6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0B9CD722"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1AF5EF5F"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highlight w:val="yellow"/>
              </w:rPr>
            </w:pPr>
          </w:p>
        </w:tc>
        <w:tc>
          <w:tcPr>
            <w:tcW w:w="2344" w:type="dxa"/>
          </w:tcPr>
          <w:p w14:paraId="67ECD5F1"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03D874D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486" w:type="dxa"/>
          </w:tcPr>
          <w:p w14:paraId="220814DC"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695" w:type="dxa"/>
            <w:shd w:val="clear" w:color="auto" w:fill="auto"/>
          </w:tcPr>
          <w:p w14:paraId="2B14F5D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5E28229A"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7CA609A2" w14:textId="77777777" w:rsidTr="00861438">
        <w:trPr>
          <w:jc w:val="center"/>
        </w:trPr>
        <w:tc>
          <w:tcPr>
            <w:tcW w:w="1026" w:type="dxa"/>
          </w:tcPr>
          <w:p w14:paraId="3D528A08"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tcPr>
          <w:p w14:paraId="228624B5"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378" w:type="dxa"/>
          </w:tcPr>
          <w:p w14:paraId="0F3AF864"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2291" w:type="dxa"/>
            <w:shd w:val="clear" w:color="auto" w:fill="auto"/>
          </w:tcPr>
          <w:p w14:paraId="6457D67D"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highlight w:val="yellow"/>
              </w:rPr>
            </w:pPr>
          </w:p>
        </w:tc>
        <w:tc>
          <w:tcPr>
            <w:tcW w:w="2344" w:type="dxa"/>
          </w:tcPr>
          <w:p w14:paraId="18CC622A"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808" w:type="dxa"/>
            <w:shd w:val="clear" w:color="auto" w:fill="auto"/>
          </w:tcPr>
          <w:p w14:paraId="73DE962F"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486" w:type="dxa"/>
          </w:tcPr>
          <w:p w14:paraId="3D347A5E"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695" w:type="dxa"/>
            <w:shd w:val="clear" w:color="auto" w:fill="auto"/>
          </w:tcPr>
          <w:p w14:paraId="21473434"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723" w:type="dxa"/>
          </w:tcPr>
          <w:p w14:paraId="43AA7061"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r w:rsidR="001A230B" w:rsidRPr="004C0798" w14:paraId="75774B44" w14:textId="77777777" w:rsidTr="00861438">
        <w:trPr>
          <w:jc w:val="center"/>
        </w:trPr>
        <w:tc>
          <w:tcPr>
            <w:tcW w:w="1026" w:type="dxa"/>
          </w:tcPr>
          <w:p w14:paraId="08CC883C"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tcPr>
          <w:p w14:paraId="29932D5B"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1378" w:type="dxa"/>
          </w:tcPr>
          <w:p w14:paraId="0E3FC172" w14:textId="77777777" w:rsidR="001A230B" w:rsidRPr="004C0798" w:rsidRDefault="001A230B" w:rsidP="00861438">
            <w:pPr>
              <w:spacing w:after="120" w:line="240" w:lineRule="auto"/>
              <w:jc w:val="center"/>
              <w:rPr>
                <w:rFonts w:asciiTheme="majorHAnsi" w:hAnsiTheme="majorHAnsi" w:cstheme="majorHAnsi"/>
                <w:b/>
                <w:i/>
                <w:color w:val="808080" w:themeColor="background1" w:themeShade="80"/>
                <w:sz w:val="20"/>
                <w:szCs w:val="20"/>
              </w:rPr>
            </w:pPr>
          </w:p>
        </w:tc>
        <w:tc>
          <w:tcPr>
            <w:tcW w:w="2291" w:type="dxa"/>
            <w:shd w:val="clear" w:color="auto" w:fill="auto"/>
          </w:tcPr>
          <w:p w14:paraId="3EECED88"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highlight w:val="yellow"/>
              </w:rPr>
            </w:pPr>
          </w:p>
        </w:tc>
        <w:tc>
          <w:tcPr>
            <w:tcW w:w="2344" w:type="dxa"/>
          </w:tcPr>
          <w:p w14:paraId="22616050"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808" w:type="dxa"/>
            <w:shd w:val="clear" w:color="auto" w:fill="auto"/>
          </w:tcPr>
          <w:p w14:paraId="0CB891BE"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486" w:type="dxa"/>
          </w:tcPr>
          <w:p w14:paraId="1FBBCDBD"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695" w:type="dxa"/>
            <w:shd w:val="clear" w:color="auto" w:fill="auto"/>
          </w:tcPr>
          <w:p w14:paraId="02D0897B"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c>
          <w:tcPr>
            <w:tcW w:w="1723" w:type="dxa"/>
          </w:tcPr>
          <w:p w14:paraId="1536E18B"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r w:rsidR="001A230B" w:rsidRPr="004C0798" w14:paraId="7B538D8E" w14:textId="77777777" w:rsidTr="00861438">
        <w:trPr>
          <w:jc w:val="center"/>
        </w:trPr>
        <w:tc>
          <w:tcPr>
            <w:tcW w:w="1026" w:type="dxa"/>
          </w:tcPr>
          <w:p w14:paraId="7C8F6244"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23B9C091"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281D49E0"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06A7EFF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73AEA00A"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0D3E8564"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328FF43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5798C63C"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1AF9C6FD"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4F60F9D9" w14:textId="77777777" w:rsidTr="00861438">
        <w:trPr>
          <w:jc w:val="center"/>
        </w:trPr>
        <w:tc>
          <w:tcPr>
            <w:tcW w:w="1026" w:type="dxa"/>
          </w:tcPr>
          <w:p w14:paraId="4F6A82E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442C1382"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69F5424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00FCBF1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7B3C9825"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5EA5B0C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157B0ED2"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2CF449EF"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32C51FC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1E415DAA" w14:textId="77777777" w:rsidTr="00861438">
        <w:trPr>
          <w:jc w:val="center"/>
        </w:trPr>
        <w:tc>
          <w:tcPr>
            <w:tcW w:w="1026" w:type="dxa"/>
          </w:tcPr>
          <w:p w14:paraId="565DCA8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The </w:t>
            </w:r>
            <w:proofErr w:type="spellStart"/>
            <w:r w:rsidRPr="004C0798">
              <w:rPr>
                <w:rFonts w:asciiTheme="majorHAnsi" w:hAnsiTheme="majorHAnsi" w:cstheme="majorHAnsi"/>
                <w:color w:val="808080" w:themeColor="background1" w:themeShade="80"/>
                <w:sz w:val="20"/>
                <w:szCs w:val="20"/>
              </w:rPr>
              <w:t>overall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p>
        </w:tc>
        <w:tc>
          <w:tcPr>
            <w:tcW w:w="1243" w:type="dxa"/>
          </w:tcPr>
          <w:p w14:paraId="672F8EEF"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268B444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47C6853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25F1AF1B"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43D758A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3770E13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007C35E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382C804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bl>
    <w:p w14:paraId="4CB30119"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sectPr w:rsidR="001A230B" w:rsidRPr="004C0798" w:rsidSect="004C0798">
          <w:headerReference w:type="even" r:id="rId25"/>
          <w:headerReference w:type="default" r:id="rId26"/>
          <w:footerReference w:type="even" r:id="rId27"/>
          <w:footerReference w:type="default" r:id="rId28"/>
          <w:headerReference w:type="first" r:id="rId29"/>
          <w:footerReference w:type="first" r:id="rId30"/>
          <w:pgSz w:w="11906" w:h="16838" w:code="9"/>
          <w:pgMar w:top="567" w:right="1134" w:bottom="567" w:left="1134" w:header="567" w:footer="567" w:gutter="0"/>
          <w:cols w:space="708"/>
        </w:sectPr>
      </w:pPr>
    </w:p>
    <w:p w14:paraId="0A3DFAB8" w14:textId="77777777" w:rsidR="001A230B" w:rsidRPr="004C0798" w:rsidRDefault="001A230B" w:rsidP="001A230B">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06C82822"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W w:w="9087" w:type="dxa"/>
        <w:tblInd w:w="93" w:type="dxa"/>
        <w:tblLayout w:type="fixed"/>
        <w:tblLook w:val="0000" w:firstRow="0" w:lastRow="0" w:firstColumn="0" w:lastColumn="0" w:noHBand="0" w:noVBand="0"/>
      </w:tblPr>
      <w:tblGrid>
        <w:gridCol w:w="5535"/>
        <w:gridCol w:w="1429"/>
        <w:gridCol w:w="1026"/>
        <w:gridCol w:w="1097"/>
      </w:tblGrid>
      <w:tr w:rsidR="001A230B" w:rsidRPr="004C0798" w14:paraId="6691DFFC"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582C"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061B7631"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7D7AA755"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AA8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S</w:t>
            </w:r>
            <w:r w:rsidRPr="004C0798">
              <w:rPr>
                <w:rFonts w:asciiTheme="majorHAnsi" w:hAnsiTheme="majorHAnsi" w:cstheme="majorHAnsi"/>
                <w:color w:val="808080" w:themeColor="background1" w:themeShade="80"/>
                <w:sz w:val="20"/>
                <w:szCs w:val="20"/>
              </w:rPr>
              <w:t xml:space="preserve">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color w:val="808080" w:themeColor="background1" w:themeShade="80"/>
                <w:sz w:val="20"/>
                <w:szCs w:val="20"/>
                <w:vertAlign w:val="superscript"/>
              </w:rPr>
              <w:footnoteReference w:id="17"/>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1C7BD62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55D468D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50C700E8"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7254F304"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6D06"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fulfilled</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1CD76D6"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10FCB384"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C34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w:t>
            </w:r>
            <w:proofErr w:type="spellStart"/>
            <w:r w:rsidRPr="004C0798">
              <w:rPr>
                <w:rFonts w:asciiTheme="majorHAnsi" w:hAnsiTheme="majorHAnsi" w:cstheme="majorHAnsi"/>
                <w:color w:val="808080" w:themeColor="background1" w:themeShade="80"/>
                <w:sz w:val="20"/>
                <w:szCs w:val="20"/>
              </w:rPr>
              <w:t>Deadline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fulfilment</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87F917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16C0B495"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F794A"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Indicator </w:t>
            </w:r>
            <w:proofErr w:type="spellStart"/>
            <w:r w:rsidRPr="004C0798">
              <w:rPr>
                <w:rFonts w:asciiTheme="majorHAnsi" w:hAnsiTheme="majorHAnsi" w:cstheme="majorHAnsi"/>
                <w:color w:val="808080" w:themeColor="background1" w:themeShade="80"/>
                <w:sz w:val="20"/>
                <w:szCs w:val="20"/>
              </w:rPr>
              <w:t>definition</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A5CD76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r>
      <w:tr w:rsidR="001A230B" w:rsidRPr="004C0798" w14:paraId="20389A55"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7F0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1B01697D"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37FC0C1D" w14:textId="77777777" w:rsidTr="00861438">
        <w:trPr>
          <w:trHeight w:val="360"/>
        </w:trPr>
        <w:tc>
          <w:tcPr>
            <w:tcW w:w="5535" w:type="dxa"/>
            <w:vMerge w:val="restart"/>
            <w:tcBorders>
              <w:top w:val="single" w:sz="4" w:space="0" w:color="000000"/>
              <w:left w:val="single" w:sz="4" w:space="0" w:color="000000"/>
              <w:right w:val="single" w:sz="4" w:space="0" w:color="000000"/>
            </w:tcBorders>
            <w:shd w:val="clear" w:color="auto" w:fill="auto"/>
            <w:vAlign w:val="center"/>
          </w:tcPr>
          <w:p w14:paraId="36857204"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if</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applicable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triggering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reimbursement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with</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schedule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reimbursements</w:t>
            </w:r>
            <w:proofErr w:type="spellEnd"/>
          </w:p>
        </w:tc>
        <w:tc>
          <w:tcPr>
            <w:tcW w:w="1429" w:type="dxa"/>
            <w:tcBorders>
              <w:top w:val="single" w:sz="4" w:space="0" w:color="000000"/>
              <w:left w:val="single" w:sz="4" w:space="0" w:color="000000"/>
              <w:bottom w:val="single" w:sz="4" w:space="0" w:color="000000"/>
              <w:right w:val="single" w:sz="4" w:space="0" w:color="000000"/>
            </w:tcBorders>
            <w:vAlign w:val="center"/>
          </w:tcPr>
          <w:p w14:paraId="3873D3B4"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14:paraId="4E8D687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Date</w:t>
            </w:r>
          </w:p>
        </w:tc>
        <w:tc>
          <w:tcPr>
            <w:tcW w:w="1097" w:type="dxa"/>
            <w:tcBorders>
              <w:top w:val="single" w:sz="4" w:space="0" w:color="000000"/>
              <w:left w:val="single" w:sz="4" w:space="0" w:color="000000"/>
              <w:bottom w:val="single" w:sz="4" w:space="0" w:color="000000"/>
              <w:right w:val="single" w:sz="4" w:space="0" w:color="000000"/>
            </w:tcBorders>
            <w:vAlign w:val="center"/>
          </w:tcPr>
          <w:p w14:paraId="21EDB9C2"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Amounts</w:t>
            </w:r>
            <w:proofErr w:type="spellEnd"/>
          </w:p>
        </w:tc>
      </w:tr>
      <w:tr w:rsidR="001A230B" w:rsidRPr="004C0798" w14:paraId="07433258" w14:textId="77777777" w:rsidTr="00861438">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5B6976B2" w14:textId="77777777" w:rsidR="001A230B" w:rsidRPr="004C0798" w:rsidRDefault="001A230B" w:rsidP="00861438">
            <w:pPr>
              <w:widowControl w:val="0"/>
              <w:pBdr>
                <w:top w:val="nil"/>
                <w:left w:val="nil"/>
                <w:bottom w:val="nil"/>
                <w:right w:val="nil"/>
                <w:between w:val="nil"/>
              </w:pBdr>
              <w:spacing w:after="120" w:line="240" w:lineRule="auto"/>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77FB736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048780C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5D650379"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7B163379" w14:textId="77777777" w:rsidTr="00861438">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37EF1756" w14:textId="77777777" w:rsidR="001A230B" w:rsidRPr="004C0798" w:rsidRDefault="001A230B" w:rsidP="00861438">
            <w:pPr>
              <w:widowControl w:val="0"/>
              <w:pBdr>
                <w:top w:val="nil"/>
                <w:left w:val="nil"/>
                <w:bottom w:val="nil"/>
                <w:right w:val="nil"/>
                <w:between w:val="nil"/>
              </w:pBdr>
              <w:spacing w:after="120" w:line="240" w:lineRule="auto"/>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6A5F0F0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5BCFDEF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50A8E99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64CD5F59"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9F32"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funding</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28050CEB"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74DE9824"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BA3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D27A47F" w14:textId="77777777" w:rsidR="001A230B" w:rsidRPr="004C0798" w:rsidRDefault="001A230B" w:rsidP="00861438">
            <w:pPr>
              <w:spacing w:after="120" w:line="240" w:lineRule="auto"/>
              <w:jc w:val="center"/>
              <w:rPr>
                <w:rFonts w:asciiTheme="majorHAnsi" w:hAnsiTheme="majorHAnsi" w:cstheme="majorHAnsi"/>
                <w:i/>
                <w:color w:val="808080" w:themeColor="background1" w:themeShade="80"/>
                <w:sz w:val="20"/>
                <w:szCs w:val="20"/>
              </w:rPr>
            </w:pPr>
          </w:p>
        </w:tc>
      </w:tr>
      <w:tr w:rsidR="001A230B" w:rsidRPr="004C0798" w14:paraId="4EF92B41"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8E9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the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w:t>
            </w:r>
          </w:p>
          <w:p w14:paraId="2A8E3E41"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w:t>
            </w:r>
          </w:p>
          <w:p w14:paraId="2DF6FFB5"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w:t>
            </w:r>
          </w:p>
          <w:p w14:paraId="77BC9027"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r w:rsidRPr="004C0798">
              <w:rPr>
                <w:rFonts w:asciiTheme="majorHAnsi" w:hAnsiTheme="majorHAnsi" w:cstheme="majorHAnsi"/>
                <w:color w:val="808080" w:themeColor="background1" w:themeShade="80"/>
                <w:sz w:val="20"/>
                <w:szCs w:val="20"/>
              </w:rPr>
              <w:t xml:space="preserve">?  </w:t>
            </w:r>
          </w:p>
          <w:p w14:paraId="17F31A5D"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64470E5E"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14FF08EA"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p w14:paraId="1705A78B"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6C647D93"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3973"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1.10a </w:t>
            </w:r>
            <w:proofErr w:type="spellStart"/>
            <w:r w:rsidRPr="004C0798">
              <w:rPr>
                <w:rFonts w:asciiTheme="majorHAnsi" w:hAnsiTheme="majorHAnsi" w:cstheme="majorHAnsi"/>
                <w:i/>
                <w:color w:val="808080" w:themeColor="background1" w:themeShade="80"/>
                <w:sz w:val="20"/>
                <w:szCs w:val="20"/>
              </w:rPr>
              <w:t>Does</w:t>
            </w:r>
            <w:proofErr w:type="spellEnd"/>
            <w:r w:rsidRPr="004C0798">
              <w:rPr>
                <w:rFonts w:asciiTheme="majorHAnsi" w:hAnsiTheme="majorHAnsi" w:cstheme="majorHAnsi"/>
                <w:i/>
                <w:color w:val="808080" w:themeColor="background1" w:themeShade="80"/>
                <w:sz w:val="20"/>
                <w:szCs w:val="20"/>
              </w:rPr>
              <w:t xml:space="preserve"> the grant </w:t>
            </w:r>
            <w:proofErr w:type="spellStart"/>
            <w:r w:rsidRPr="004C0798">
              <w:rPr>
                <w:rFonts w:asciiTheme="majorHAnsi" w:hAnsiTheme="majorHAnsi" w:cstheme="majorHAnsi"/>
                <w:i/>
                <w:color w:val="808080" w:themeColor="background1" w:themeShade="80"/>
                <w:sz w:val="20"/>
                <w:szCs w:val="20"/>
              </w:rPr>
              <w:t>provided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beneficiaries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take</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form</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[Y/N]</w:t>
            </w:r>
            <w:r w:rsidRPr="004C0798">
              <w:rPr>
                <w:rFonts w:asciiTheme="majorHAnsi" w:hAnsiTheme="majorHAnsi" w:cstheme="majorHAnsi"/>
                <w:i/>
                <w:color w:val="808080" w:themeColor="background1" w:themeShade="80"/>
                <w:sz w:val="20"/>
                <w:szCs w:val="20"/>
                <w:vertAlign w:val="superscript"/>
              </w:rPr>
              <w:footnoteReference w:id="18"/>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5891CCA3"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r w:rsidR="001A230B" w:rsidRPr="004C0798" w14:paraId="654D9FC0"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273F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audit </w:t>
            </w:r>
            <w:proofErr w:type="spellStart"/>
            <w:r w:rsidRPr="004C0798">
              <w:rPr>
                <w:rFonts w:asciiTheme="majorHAnsi" w:hAnsiTheme="majorHAnsi" w:cstheme="majorHAnsi"/>
                <w:color w:val="808080" w:themeColor="background1" w:themeShade="80"/>
                <w:sz w:val="20"/>
                <w:szCs w:val="20"/>
              </w:rPr>
              <w:t>trail</w:t>
            </w:r>
            <w:proofErr w:type="spellEnd"/>
            <w:r w:rsidRPr="004C0798">
              <w:rPr>
                <w:rFonts w:asciiTheme="majorHAnsi" w:hAnsiTheme="majorHAnsi" w:cstheme="majorHAnsi"/>
                <w:color w:val="808080" w:themeColor="background1" w:themeShade="80"/>
                <w:sz w:val="20"/>
                <w:szCs w:val="20"/>
              </w:rPr>
              <w:t xml:space="preserve"> </w:t>
            </w:r>
          </w:p>
          <w:p w14:paraId="38981629" w14:textId="77777777" w:rsidR="001A230B" w:rsidRPr="004C0798" w:rsidRDefault="001A230B"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list</w:t>
            </w:r>
            <w:proofErr w:type="spellEnd"/>
            <w:r w:rsidRPr="004C0798">
              <w:rPr>
                <w:rFonts w:asciiTheme="majorHAnsi" w:hAnsiTheme="majorHAnsi" w:cstheme="majorHAnsi"/>
                <w:color w:val="808080" w:themeColor="background1" w:themeShade="80"/>
                <w:sz w:val="20"/>
                <w:szCs w:val="20"/>
              </w:rPr>
              <w:t xml:space="preserve"> the body(ies) </w:t>
            </w:r>
            <w:proofErr w:type="spellStart"/>
            <w:r w:rsidRPr="004C0798">
              <w:rPr>
                <w:rFonts w:asciiTheme="majorHAnsi" w:hAnsiTheme="majorHAnsi" w:cstheme="majorHAnsi"/>
                <w:color w:val="808080" w:themeColor="background1" w:themeShade="80"/>
                <w:sz w:val="20"/>
                <w:szCs w:val="20"/>
              </w:rPr>
              <w:t>responsible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D9702A7" w14:textId="77777777" w:rsidR="001A230B" w:rsidRPr="004C0798" w:rsidRDefault="001A230B" w:rsidP="00861438">
            <w:pPr>
              <w:spacing w:after="120" w:line="240" w:lineRule="auto"/>
              <w:jc w:val="center"/>
              <w:rPr>
                <w:rFonts w:asciiTheme="majorHAnsi" w:hAnsiTheme="majorHAnsi" w:cstheme="majorHAnsi"/>
                <w:color w:val="808080" w:themeColor="background1" w:themeShade="80"/>
                <w:sz w:val="20"/>
                <w:szCs w:val="20"/>
              </w:rPr>
            </w:pPr>
          </w:p>
        </w:tc>
      </w:tr>
    </w:tbl>
    <w:p w14:paraId="6DF675D8"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sectPr w:rsidR="001A230B" w:rsidRPr="004C0798" w:rsidSect="004C0798">
          <w:headerReference w:type="even" r:id="rId31"/>
          <w:headerReference w:type="default" r:id="rId32"/>
          <w:footerReference w:type="even" r:id="rId33"/>
          <w:footerReference w:type="default" r:id="rId34"/>
          <w:headerReference w:type="first" r:id="rId35"/>
          <w:footerReference w:type="first" r:id="rId36"/>
          <w:pgSz w:w="11906" w:h="16838" w:code="9"/>
          <w:pgMar w:top="567" w:right="1134" w:bottom="567" w:left="1134" w:header="567" w:footer="567" w:gutter="0"/>
          <w:cols w:space="708"/>
        </w:sectPr>
      </w:pPr>
    </w:p>
    <w:p w14:paraId="2313CB4B" w14:textId="77777777" w:rsidR="001A230B" w:rsidRPr="004C0798" w:rsidRDefault="001A230B" w:rsidP="001A230B">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lastRenderedPageBreak/>
        <w:t>[</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3: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9"/>
      </w: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3578"/>
        <w:gridCol w:w="60"/>
        <w:gridCol w:w="2403"/>
        <w:gridCol w:w="1566"/>
      </w:tblGrid>
      <w:tr w:rsidR="001A230B" w:rsidRPr="004C0798" w14:paraId="3BE6180F" w14:textId="77777777" w:rsidTr="00861438">
        <w:tc>
          <w:tcPr>
            <w:tcW w:w="2424" w:type="dxa"/>
            <w:tcMar>
              <w:top w:w="0" w:type="dxa"/>
              <w:left w:w="108" w:type="dxa"/>
              <w:bottom w:w="0" w:type="dxa"/>
              <w:right w:w="108" w:type="dxa"/>
            </w:tcMar>
          </w:tcPr>
          <w:p w14:paraId="496ABE68"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Procedure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 Specific </w:t>
            </w:r>
            <w:proofErr w:type="spellStart"/>
            <w:r w:rsidRPr="004C0798">
              <w:rPr>
                <w:rFonts w:asciiTheme="majorHAnsi" w:hAnsiTheme="majorHAnsi" w:cstheme="majorHAnsi"/>
                <w:i/>
                <w:color w:val="808080" w:themeColor="background1" w:themeShade="80"/>
                <w:sz w:val="20"/>
                <w:szCs w:val="20"/>
              </w:rPr>
              <w:t>objective</w:t>
            </w:r>
            <w:proofErr w:type="spellEnd"/>
          </w:p>
        </w:tc>
        <w:tc>
          <w:tcPr>
            <w:tcW w:w="3578" w:type="dxa"/>
            <w:tcMar>
              <w:top w:w="0" w:type="dxa"/>
              <w:left w:w="108" w:type="dxa"/>
              <w:bottom w:w="0" w:type="dxa"/>
              <w:right w:w="108" w:type="dxa"/>
            </w:tcMar>
          </w:tcPr>
          <w:p w14:paraId="1F178489"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Modality</w:t>
            </w:r>
            <w:proofErr w:type="spellEnd"/>
            <w:r w:rsidRPr="004C0798">
              <w:rPr>
                <w:rFonts w:asciiTheme="majorHAnsi" w:hAnsiTheme="majorHAnsi" w:cstheme="majorHAnsi"/>
                <w:i/>
                <w:color w:val="808080" w:themeColor="background1" w:themeShade="80"/>
                <w:sz w:val="20"/>
                <w:szCs w:val="20"/>
              </w:rPr>
              <w:t xml:space="preserve">: Specific </w:t>
            </w:r>
            <w:proofErr w:type="spellStart"/>
            <w:r w:rsidRPr="004C0798">
              <w:rPr>
                <w:rFonts w:asciiTheme="majorHAnsi" w:hAnsiTheme="majorHAnsi" w:cstheme="majorHAnsi"/>
                <w:i/>
                <w:color w:val="808080" w:themeColor="background1" w:themeShade="80"/>
                <w:sz w:val="20"/>
                <w:szCs w:val="20"/>
              </w:rPr>
              <w:t>action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emergency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resettlement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support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States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contributing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solidarity</w:t>
            </w:r>
            <w:proofErr w:type="spellEnd"/>
            <w:r w:rsidRPr="004C0798">
              <w:rPr>
                <w:rFonts w:asciiTheme="majorHAnsi" w:hAnsiTheme="majorHAnsi" w:cstheme="majorHAnsi"/>
                <w:i/>
                <w:color w:val="808080" w:themeColor="background1" w:themeShade="80"/>
                <w:sz w:val="20"/>
                <w:szCs w:val="20"/>
              </w:rPr>
              <w:t xml:space="preserve"> </w:t>
            </w:r>
          </w:p>
        </w:tc>
        <w:tc>
          <w:tcPr>
            <w:tcW w:w="2463" w:type="dxa"/>
            <w:gridSpan w:val="2"/>
            <w:tcMar>
              <w:top w:w="0" w:type="dxa"/>
              <w:left w:w="108" w:type="dxa"/>
              <w:bottom w:w="0" w:type="dxa"/>
              <w:right w:w="108" w:type="dxa"/>
            </w:tcMar>
          </w:tcPr>
          <w:p w14:paraId="64442CB2"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intervention</w:t>
            </w:r>
            <w:proofErr w:type="spellEnd"/>
            <w:r w:rsidRPr="004C0798">
              <w:rPr>
                <w:rFonts w:asciiTheme="majorHAnsi" w:hAnsiTheme="majorHAnsi" w:cstheme="majorHAnsi"/>
                <w:i/>
                <w:color w:val="808080" w:themeColor="background1" w:themeShade="80"/>
                <w:sz w:val="20"/>
                <w:szCs w:val="20"/>
              </w:rPr>
              <w:t xml:space="preserve"> </w:t>
            </w:r>
          </w:p>
        </w:tc>
        <w:tc>
          <w:tcPr>
            <w:tcW w:w="1566" w:type="dxa"/>
            <w:tcMar>
              <w:top w:w="0" w:type="dxa"/>
              <w:left w:w="108" w:type="dxa"/>
              <w:bottom w:w="0" w:type="dxa"/>
              <w:right w:w="108" w:type="dxa"/>
            </w:tcMar>
          </w:tcPr>
          <w:p w14:paraId="267399F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EU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(EUR) </w:t>
            </w:r>
          </w:p>
        </w:tc>
      </w:tr>
      <w:tr w:rsidR="001A230B" w:rsidRPr="004C0798" w14:paraId="5C878730" w14:textId="77777777" w:rsidTr="00861438">
        <w:tc>
          <w:tcPr>
            <w:tcW w:w="2424" w:type="dxa"/>
            <w:tcMar>
              <w:top w:w="0" w:type="dxa"/>
              <w:left w:w="108" w:type="dxa"/>
              <w:bottom w:w="0" w:type="dxa"/>
              <w:right w:w="108" w:type="dxa"/>
            </w:tcMar>
          </w:tcPr>
          <w:p w14:paraId="0535B8F1"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c>
          <w:tcPr>
            <w:tcW w:w="3578" w:type="dxa"/>
            <w:tcMar>
              <w:top w:w="0" w:type="dxa"/>
              <w:left w:w="108" w:type="dxa"/>
              <w:bottom w:w="0" w:type="dxa"/>
              <w:right w:w="108" w:type="dxa"/>
            </w:tcMar>
          </w:tcPr>
          <w:p w14:paraId="79049F9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2463" w:type="dxa"/>
            <w:gridSpan w:val="2"/>
            <w:tcMar>
              <w:top w:w="0" w:type="dxa"/>
              <w:left w:w="108" w:type="dxa"/>
              <w:bottom w:w="0" w:type="dxa"/>
              <w:right w:w="108" w:type="dxa"/>
            </w:tcMar>
          </w:tcPr>
          <w:p w14:paraId="416B1383"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1566" w:type="dxa"/>
            <w:tcMar>
              <w:top w:w="0" w:type="dxa"/>
              <w:left w:w="108" w:type="dxa"/>
              <w:bottom w:w="0" w:type="dxa"/>
              <w:right w:w="108" w:type="dxa"/>
            </w:tcMar>
          </w:tcPr>
          <w:p w14:paraId="43D85025"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r>
      <w:tr w:rsidR="001A230B" w:rsidRPr="004C0798" w14:paraId="684417AB" w14:textId="77777777" w:rsidTr="00861438">
        <w:tc>
          <w:tcPr>
            <w:tcW w:w="2424" w:type="dxa"/>
            <w:tcMar>
              <w:top w:w="0" w:type="dxa"/>
              <w:left w:w="108" w:type="dxa"/>
              <w:bottom w:w="0" w:type="dxa"/>
              <w:right w:w="108" w:type="dxa"/>
            </w:tcMar>
          </w:tcPr>
          <w:p w14:paraId="565A1DE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Description</w:t>
            </w:r>
            <w:proofErr w:type="spellEnd"/>
            <w:r w:rsidRPr="004C0798">
              <w:rPr>
                <w:rFonts w:asciiTheme="majorHAnsi" w:hAnsiTheme="majorHAnsi" w:cstheme="majorHAnsi"/>
                <w:i/>
                <w:color w:val="808080" w:themeColor="background1" w:themeShade="80"/>
                <w:sz w:val="20"/>
                <w:szCs w:val="20"/>
              </w:rPr>
              <w:t xml:space="preserve"> of the </w:t>
            </w:r>
            <w:proofErr w:type="spellStart"/>
            <w:r w:rsidRPr="004C0798">
              <w:rPr>
                <w:rFonts w:asciiTheme="majorHAnsi" w:hAnsiTheme="majorHAnsi" w:cstheme="majorHAnsi"/>
                <w:i/>
                <w:color w:val="808080" w:themeColor="background1" w:themeShade="80"/>
                <w:sz w:val="20"/>
                <w:szCs w:val="20"/>
              </w:rPr>
              <w:t>action</w:t>
            </w:r>
            <w:proofErr w:type="spellEnd"/>
          </w:p>
        </w:tc>
        <w:tc>
          <w:tcPr>
            <w:tcW w:w="7607" w:type="dxa"/>
            <w:gridSpan w:val="4"/>
            <w:tcMar>
              <w:top w:w="0" w:type="dxa"/>
              <w:left w:w="108" w:type="dxa"/>
              <w:bottom w:w="0" w:type="dxa"/>
              <w:right w:w="108" w:type="dxa"/>
            </w:tcMar>
          </w:tcPr>
          <w:p w14:paraId="5A3AA646"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1709A678"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r w:rsidR="001A230B" w:rsidRPr="004C0798" w14:paraId="4C341E66" w14:textId="77777777" w:rsidTr="00861438">
        <w:tc>
          <w:tcPr>
            <w:tcW w:w="6062" w:type="dxa"/>
            <w:gridSpan w:val="3"/>
            <w:tcMar>
              <w:top w:w="0" w:type="dxa"/>
              <w:left w:w="108" w:type="dxa"/>
              <w:bottom w:w="0" w:type="dxa"/>
              <w:right w:w="108" w:type="dxa"/>
            </w:tcMar>
          </w:tcPr>
          <w:p w14:paraId="174CDF4E"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submits</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amendment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w:t>
            </w:r>
          </w:p>
          <w:p w14:paraId="7B1F6130"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c>
          <w:tcPr>
            <w:tcW w:w="3969" w:type="dxa"/>
            <w:gridSpan w:val="2"/>
            <w:tcMar>
              <w:top w:w="0" w:type="dxa"/>
              <w:left w:w="108" w:type="dxa"/>
              <w:bottom w:w="0" w:type="dxa"/>
              <w:right w:w="108" w:type="dxa"/>
            </w:tcMar>
          </w:tcPr>
          <w:p w14:paraId="7DE074EE"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Date: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p w14:paraId="26F2D077"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Submit</w:t>
            </w:r>
            <w:proofErr w:type="spellEnd"/>
            <w:r w:rsidRPr="004C0798">
              <w:rPr>
                <w:rFonts w:asciiTheme="majorHAnsi" w:hAnsiTheme="majorHAnsi" w:cstheme="majorHAnsi"/>
                <w:i/>
                <w:color w:val="808080" w:themeColor="background1" w:themeShade="80"/>
                <w:sz w:val="20"/>
                <w:szCs w:val="20"/>
              </w:rPr>
              <w:t>/Decline: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r>
      <w:tr w:rsidR="001A230B" w:rsidRPr="004C0798" w14:paraId="2DAD3D83" w14:textId="77777777" w:rsidTr="00861438">
        <w:trPr>
          <w:trHeight w:val="1265"/>
        </w:trPr>
        <w:tc>
          <w:tcPr>
            <w:tcW w:w="6062" w:type="dxa"/>
            <w:gridSpan w:val="3"/>
            <w:tcMar>
              <w:top w:w="0" w:type="dxa"/>
              <w:left w:w="108" w:type="dxa"/>
              <w:bottom w:w="0" w:type="dxa"/>
              <w:right w:w="108" w:type="dxa"/>
            </w:tcMar>
          </w:tcPr>
          <w:p w14:paraId="067F1F9A"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Comment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indicators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targets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millstones</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updated</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justification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encoded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tables</w:t>
            </w:r>
            <w:proofErr w:type="spellEnd"/>
            <w:r w:rsidRPr="004C0798">
              <w:rPr>
                <w:rFonts w:asciiTheme="majorHAnsi" w:hAnsiTheme="majorHAnsi" w:cstheme="majorHAnsi"/>
                <w:i/>
                <w:color w:val="808080" w:themeColor="background1" w:themeShade="80"/>
                <w:sz w:val="20"/>
                <w:szCs w:val="20"/>
              </w:rPr>
              <w:t xml:space="preserve"> 3, 5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6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revised</w:t>
            </w:r>
            <w:proofErr w:type="spellEnd"/>
            <w:r w:rsidRPr="004C0798">
              <w:rPr>
                <w:rFonts w:asciiTheme="majorHAnsi" w:hAnsiTheme="majorHAnsi" w:cstheme="majorHAnsi"/>
                <w:i/>
                <w:color w:val="808080" w:themeColor="background1" w:themeShade="80"/>
                <w:sz w:val="20"/>
                <w:szCs w:val="20"/>
              </w:rPr>
              <w:t>)</w:t>
            </w:r>
          </w:p>
        </w:tc>
        <w:tc>
          <w:tcPr>
            <w:tcW w:w="3969" w:type="dxa"/>
            <w:gridSpan w:val="2"/>
            <w:tcMar>
              <w:top w:w="0" w:type="dxa"/>
              <w:left w:w="108" w:type="dxa"/>
              <w:bottom w:w="0" w:type="dxa"/>
              <w:right w:w="108" w:type="dxa"/>
            </w:tcMar>
          </w:tcPr>
          <w:p w14:paraId="55EC03AD"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5A55EE8B" w14:textId="77777777" w:rsidR="001A230B" w:rsidRPr="004C0798" w:rsidRDefault="001A230B" w:rsidP="00861438">
            <w:pPr>
              <w:spacing w:after="120" w:line="240" w:lineRule="auto"/>
              <w:rPr>
                <w:rFonts w:asciiTheme="majorHAnsi" w:hAnsiTheme="majorHAnsi" w:cstheme="majorHAnsi"/>
                <w:i/>
                <w:color w:val="808080" w:themeColor="background1" w:themeShade="80"/>
                <w:sz w:val="20"/>
                <w:szCs w:val="20"/>
              </w:rPr>
            </w:pPr>
          </w:p>
        </w:tc>
      </w:tr>
    </w:tbl>
    <w:p w14:paraId="6A1D9D75" w14:textId="77777777" w:rsidR="001A230B" w:rsidRPr="004C0798" w:rsidRDefault="001A230B" w:rsidP="001A230B">
      <w:pPr>
        <w:spacing w:after="120" w:line="240" w:lineRule="auto"/>
        <w:rPr>
          <w:rFonts w:asciiTheme="majorHAnsi" w:hAnsiTheme="majorHAnsi" w:cstheme="majorHAnsi"/>
          <w:color w:val="808080" w:themeColor="background1" w:themeShade="80"/>
          <w:sz w:val="20"/>
          <w:szCs w:val="20"/>
        </w:rPr>
      </w:pPr>
    </w:p>
    <w:p w14:paraId="3490CB0A" w14:textId="77777777" w:rsidR="001A230B" w:rsidRPr="001A230B" w:rsidRDefault="001A230B" w:rsidP="001A230B"/>
    <w:sectPr w:rsidR="001A230B" w:rsidRPr="001A230B" w:rsidSect="001A230B">
      <w:headerReference w:type="even" r:id="rId37"/>
      <w:headerReference w:type="default" r:id="rId38"/>
      <w:footerReference w:type="even" r:id="rId39"/>
      <w:footerReference w:type="default" r:id="rId40"/>
      <w:headerReference w:type="first" r:id="rId41"/>
      <w:footerReference w:type="first" r:id="rId42"/>
      <w:pgSz w:w="11906" w:h="16838" w:code="9"/>
      <w:pgMar w:top="567" w:right="1134" w:bottom="567"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4BA9" w14:textId="77777777" w:rsidR="00AB3405" w:rsidRDefault="00AB3405">
      <w:pPr>
        <w:spacing w:after="0" w:line="240" w:lineRule="auto"/>
      </w:pPr>
      <w:r>
        <w:separator/>
      </w:r>
    </w:p>
  </w:endnote>
  <w:endnote w:type="continuationSeparator" w:id="0">
    <w:p w14:paraId="4D2CAD09" w14:textId="77777777" w:rsidR="00AB3405" w:rsidRDefault="00AB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46E5"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CED7"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5AC4"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14:paraId="3071F0F6"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jc w:val="right"/>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15D3"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5213"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21E0"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p w14:paraId="58A65C73" w14:textId="77777777" w:rsidR="001A230B" w:rsidRDefault="001A230B">
    <w:pPr>
      <w:pBdr>
        <w:top w:val="nil"/>
        <w:left w:val="nil"/>
        <w:bottom w:val="nil"/>
        <w:right w:val="nil"/>
        <w:between w:val="nil"/>
      </w:pBdr>
      <w:tabs>
        <w:tab w:val="center" w:pos="7285"/>
        <w:tab w:val="center" w:pos="10913"/>
        <w:tab w:val="right" w:pos="15137"/>
      </w:tabs>
      <w:spacing w:before="360" w:after="0"/>
      <w:ind w:left="-567" w:right="-567"/>
      <w:rPr>
        <w:rFonts w:ascii="Arial" w:eastAsia="Arial" w:hAnsi="Arial" w:cs="Arial"/>
        <w:b/>
        <w:color w:val="000000"/>
        <w:sz w:val="48"/>
        <w:szCs w:val="4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7B48" w14:textId="77777777" w:rsidR="001A230B" w:rsidRDefault="001A230B">
    <w:pPr>
      <w:pBdr>
        <w:top w:val="nil"/>
        <w:left w:val="nil"/>
        <w:bottom w:val="nil"/>
        <w:right w:val="nil"/>
        <w:between w:val="nil"/>
      </w:pBdr>
      <w:tabs>
        <w:tab w:val="center" w:pos="7285"/>
        <w:tab w:val="center" w:pos="10913"/>
        <w:tab w:val="right" w:pos="15137"/>
      </w:tabs>
      <w:spacing w:before="360" w:after="0"/>
      <w:ind w:left="-567" w:right="-567"/>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4477" w14:textId="77777777" w:rsidR="00280487" w:rsidRDefault="0028048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A8C9" w14:textId="17DA3119" w:rsidR="00280487" w:rsidRDefault="00280487">
    <w:pPr>
      <w:jc w:val="right"/>
    </w:pPr>
    <w:r>
      <w:fldChar w:fldCharType="begin"/>
    </w:r>
    <w:r>
      <w:instrText>PAGE</w:instrText>
    </w:r>
    <w:r>
      <w:fldChar w:fldCharType="separate"/>
    </w:r>
    <w:r>
      <w:rPr>
        <w:noProof/>
      </w:rPr>
      <w:t>32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737F" w14:textId="77777777" w:rsidR="00280487" w:rsidRDefault="002804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2CD5" w14:textId="77777777" w:rsidR="001A230B" w:rsidRPr="0042331A" w:rsidRDefault="001A230B" w:rsidP="001A230B">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r w:rsidRPr="0042331A">
      <w:rPr>
        <w:color w:val="000000"/>
        <w:sz w:val="24"/>
        <w:szCs w:val="24"/>
      </w:rPr>
      <w:fldChar w:fldCharType="begin"/>
    </w:r>
    <w:r w:rsidRPr="0042331A">
      <w:rPr>
        <w:color w:val="000000"/>
        <w:sz w:val="24"/>
        <w:szCs w:val="24"/>
      </w:rPr>
      <w:instrText>PAGE</w:instrText>
    </w:r>
    <w:r w:rsidRPr="0042331A">
      <w:rPr>
        <w:color w:val="000000"/>
        <w:sz w:val="24"/>
        <w:szCs w:val="24"/>
      </w:rPr>
      <w:fldChar w:fldCharType="separate"/>
    </w:r>
    <w:r w:rsidRPr="0042331A">
      <w:rPr>
        <w:noProof/>
        <w:color w:val="000000"/>
        <w:sz w:val="24"/>
        <w:szCs w:val="24"/>
      </w:rPr>
      <w:t>2</w:t>
    </w:r>
    <w:r w:rsidRPr="0042331A">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EF0B"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5722F79"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B63D"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BC70" w14:textId="77777777" w:rsidR="001A230B" w:rsidRDefault="001A230B">
    <w:pPr>
      <w:pBdr>
        <w:top w:val="single" w:sz="4" w:space="1" w:color="808080"/>
        <w:left w:val="nil"/>
        <w:bottom w:val="nil"/>
        <w:right w:val="nil"/>
        <w:between w:val="nil"/>
      </w:pBdr>
      <w:tabs>
        <w:tab w:val="center" w:pos="4535"/>
        <w:tab w:val="right" w:pos="9071"/>
        <w:tab w:val="right" w:pos="9921"/>
      </w:tabs>
      <w:spacing w:before="360" w:after="0"/>
      <w:ind w:left="-850" w:right="-850"/>
      <w:jc w:val="right"/>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5C2A"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04758350"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6744"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F258" w14:textId="77777777" w:rsidR="001A230B" w:rsidRDefault="001A230B" w:rsidP="009C63E5">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EEA1" w14:textId="77777777" w:rsidR="001A230B" w:rsidRDefault="001A230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2B06" w14:textId="77777777" w:rsidR="00AB3405" w:rsidRDefault="00AB3405">
      <w:pPr>
        <w:spacing w:after="0" w:line="240" w:lineRule="auto"/>
      </w:pPr>
      <w:r>
        <w:separator/>
      </w:r>
    </w:p>
  </w:footnote>
  <w:footnote w:type="continuationSeparator" w:id="0">
    <w:p w14:paraId="4D17F66D" w14:textId="77777777" w:rsidR="00AB3405" w:rsidRDefault="00AB3405">
      <w:pPr>
        <w:spacing w:after="0" w:line="240" w:lineRule="auto"/>
      </w:pPr>
      <w:r>
        <w:continuationSeparator/>
      </w:r>
    </w:p>
  </w:footnote>
  <w:footnote w:id="1">
    <w:p w14:paraId="332C0048" w14:textId="77777777" w:rsidR="00280487" w:rsidRPr="001A230B" w:rsidRDefault="00280487" w:rsidP="002F4698">
      <w:pPr>
        <w:pBdr>
          <w:top w:val="nil"/>
          <w:left w:val="nil"/>
          <w:bottom w:val="nil"/>
          <w:right w:val="nil"/>
          <w:between w:val="nil"/>
        </w:pBdr>
        <w:spacing w:after="0"/>
        <w:rPr>
          <w:rFonts w:asciiTheme="majorHAnsi" w:hAnsiTheme="majorHAnsi" w:cstheme="majorHAnsi"/>
          <w:color w:val="000000"/>
          <w:sz w:val="16"/>
          <w:szCs w:val="16"/>
        </w:rPr>
      </w:pPr>
      <w:r w:rsidRPr="001A230B">
        <w:rPr>
          <w:rFonts w:asciiTheme="majorHAnsi" w:hAnsiTheme="majorHAnsi" w:cstheme="majorHAnsi"/>
          <w:sz w:val="16"/>
          <w:szCs w:val="16"/>
          <w:vertAlign w:val="superscript"/>
        </w:rPr>
        <w:footnoteRef/>
      </w:r>
      <w:r w:rsidRPr="001A230B">
        <w:rPr>
          <w:rFonts w:asciiTheme="majorHAnsi" w:hAnsiTheme="majorHAnsi" w:cstheme="majorHAnsi"/>
          <w:color w:val="000000"/>
          <w:sz w:val="16"/>
          <w:szCs w:val="16"/>
        </w:rPr>
        <w:t xml:space="preserve"> </w:t>
      </w:r>
      <w:proofErr w:type="spellStart"/>
      <w:r w:rsidRPr="001A230B">
        <w:rPr>
          <w:rFonts w:asciiTheme="majorHAnsi" w:hAnsiTheme="majorHAnsi" w:cstheme="majorHAnsi"/>
          <w:i/>
          <w:color w:val="000000"/>
          <w:sz w:val="16"/>
          <w:szCs w:val="16"/>
        </w:rPr>
        <w:t>Without</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prejudice</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to</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further</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alignment</w:t>
      </w:r>
      <w:proofErr w:type="spellEnd"/>
      <w:r w:rsidRPr="001A230B">
        <w:rPr>
          <w:rFonts w:asciiTheme="majorHAnsi" w:hAnsiTheme="majorHAnsi" w:cstheme="majorHAnsi"/>
          <w:i/>
          <w:color w:val="000000"/>
          <w:sz w:val="16"/>
          <w:szCs w:val="16"/>
        </w:rPr>
        <w:t xml:space="preserve"> in </w:t>
      </w:r>
      <w:proofErr w:type="spellStart"/>
      <w:r w:rsidRPr="001A230B">
        <w:rPr>
          <w:rFonts w:asciiTheme="majorHAnsi" w:hAnsiTheme="majorHAnsi" w:cstheme="majorHAnsi"/>
          <w:i/>
          <w:color w:val="000000"/>
          <w:sz w:val="16"/>
          <w:szCs w:val="16"/>
        </w:rPr>
        <w:t>relation</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to</w:t>
      </w:r>
      <w:proofErr w:type="spellEnd"/>
      <w:r w:rsidRPr="001A230B">
        <w:rPr>
          <w:rFonts w:asciiTheme="majorHAnsi" w:hAnsiTheme="majorHAnsi" w:cstheme="majorHAnsi"/>
          <w:i/>
          <w:color w:val="000000"/>
          <w:sz w:val="16"/>
          <w:szCs w:val="16"/>
        </w:rPr>
        <w:t xml:space="preserve"> the </w:t>
      </w:r>
      <w:proofErr w:type="spellStart"/>
      <w:r w:rsidRPr="001A230B">
        <w:rPr>
          <w:rFonts w:asciiTheme="majorHAnsi" w:hAnsiTheme="majorHAnsi" w:cstheme="majorHAnsi"/>
          <w:i/>
          <w:color w:val="000000"/>
          <w:sz w:val="16"/>
          <w:szCs w:val="16"/>
        </w:rPr>
        <w:t>outcome</w:t>
      </w:r>
      <w:proofErr w:type="spellEnd"/>
      <w:r w:rsidRPr="001A230B">
        <w:rPr>
          <w:rFonts w:asciiTheme="majorHAnsi" w:hAnsiTheme="majorHAnsi" w:cstheme="majorHAnsi"/>
          <w:i/>
          <w:color w:val="000000"/>
          <w:sz w:val="16"/>
          <w:szCs w:val="16"/>
        </w:rPr>
        <w:t xml:space="preserve"> of </w:t>
      </w:r>
      <w:proofErr w:type="spellStart"/>
      <w:r w:rsidRPr="001A230B">
        <w:rPr>
          <w:rFonts w:asciiTheme="majorHAnsi" w:hAnsiTheme="majorHAnsi" w:cstheme="majorHAnsi"/>
          <w:i/>
          <w:color w:val="000000"/>
          <w:sz w:val="16"/>
          <w:szCs w:val="16"/>
        </w:rPr>
        <w:t>interinstitutional</w:t>
      </w:r>
      <w:proofErr w:type="spellEnd"/>
      <w:r w:rsidRPr="001A230B">
        <w:rPr>
          <w:rFonts w:asciiTheme="majorHAnsi" w:hAnsiTheme="majorHAnsi" w:cstheme="majorHAnsi"/>
          <w:i/>
          <w:color w:val="000000"/>
          <w:sz w:val="16"/>
          <w:szCs w:val="16"/>
        </w:rPr>
        <w:t xml:space="preserve"> </w:t>
      </w:r>
      <w:proofErr w:type="spellStart"/>
      <w:r w:rsidRPr="001A230B">
        <w:rPr>
          <w:rFonts w:asciiTheme="majorHAnsi" w:hAnsiTheme="majorHAnsi" w:cstheme="majorHAnsi"/>
          <w:i/>
          <w:color w:val="000000"/>
          <w:sz w:val="16"/>
          <w:szCs w:val="16"/>
        </w:rPr>
        <w:t>negotiations</w:t>
      </w:r>
      <w:proofErr w:type="spellEnd"/>
      <w:r w:rsidRPr="001A230B">
        <w:rPr>
          <w:rFonts w:asciiTheme="majorHAnsi" w:hAnsiTheme="majorHAnsi" w:cstheme="majorHAnsi"/>
          <w:i/>
          <w:color w:val="000000"/>
          <w:sz w:val="16"/>
          <w:szCs w:val="16"/>
        </w:rPr>
        <w:t xml:space="preserve"> on the </w:t>
      </w:r>
      <w:proofErr w:type="spellStart"/>
      <w:r w:rsidRPr="001A230B">
        <w:rPr>
          <w:rFonts w:asciiTheme="majorHAnsi" w:hAnsiTheme="majorHAnsi" w:cstheme="majorHAnsi"/>
          <w:i/>
          <w:color w:val="000000"/>
          <w:sz w:val="16"/>
          <w:szCs w:val="16"/>
        </w:rPr>
        <w:t>articles</w:t>
      </w:r>
      <w:proofErr w:type="spellEnd"/>
      <w:r w:rsidRPr="001A230B">
        <w:rPr>
          <w:rFonts w:asciiTheme="majorHAnsi" w:hAnsiTheme="majorHAnsi" w:cstheme="majorHAnsi"/>
          <w:i/>
          <w:color w:val="000000"/>
          <w:sz w:val="16"/>
          <w:szCs w:val="16"/>
        </w:rPr>
        <w:t xml:space="preserve"> of the CPR </w:t>
      </w:r>
      <w:proofErr w:type="spellStart"/>
      <w:r w:rsidRPr="001A230B">
        <w:rPr>
          <w:rFonts w:asciiTheme="majorHAnsi" w:hAnsiTheme="majorHAnsi" w:cstheme="majorHAnsi"/>
          <w:i/>
          <w:color w:val="000000"/>
          <w:sz w:val="16"/>
          <w:szCs w:val="16"/>
        </w:rPr>
        <w:t>and</w:t>
      </w:r>
      <w:proofErr w:type="spellEnd"/>
      <w:r w:rsidRPr="001A230B">
        <w:rPr>
          <w:rFonts w:asciiTheme="majorHAnsi" w:hAnsiTheme="majorHAnsi" w:cstheme="majorHAnsi"/>
          <w:i/>
          <w:color w:val="000000"/>
          <w:sz w:val="16"/>
          <w:szCs w:val="16"/>
        </w:rPr>
        <w:t xml:space="preserve"> the fund-specific </w:t>
      </w:r>
      <w:proofErr w:type="spellStart"/>
      <w:r w:rsidRPr="001A230B">
        <w:rPr>
          <w:rFonts w:asciiTheme="majorHAnsi" w:hAnsiTheme="majorHAnsi" w:cstheme="majorHAnsi"/>
          <w:i/>
          <w:color w:val="000000"/>
          <w:sz w:val="16"/>
          <w:szCs w:val="16"/>
        </w:rPr>
        <w:t>regulations</w:t>
      </w:r>
      <w:proofErr w:type="spellEnd"/>
      <w:r w:rsidRPr="001A230B">
        <w:rPr>
          <w:rFonts w:asciiTheme="majorHAnsi" w:hAnsiTheme="majorHAnsi" w:cstheme="majorHAnsi"/>
          <w:i/>
          <w:color w:val="000000"/>
          <w:sz w:val="16"/>
          <w:szCs w:val="16"/>
        </w:rPr>
        <w:t>.</w:t>
      </w:r>
    </w:p>
  </w:footnote>
  <w:footnote w:id="2">
    <w:p w14:paraId="729DD98F" w14:textId="77777777" w:rsidR="00280487" w:rsidRDefault="00280487">
      <w:pPr>
        <w:spacing w:after="0" w:line="240" w:lineRule="auto"/>
        <w:rPr>
          <w:sz w:val="20"/>
          <w:szCs w:val="20"/>
          <w:vertAlign w:val="superscript"/>
        </w:rPr>
      </w:pPr>
      <w:r w:rsidRPr="001A230B">
        <w:rPr>
          <w:rFonts w:asciiTheme="majorHAnsi" w:hAnsiTheme="majorHAnsi" w:cstheme="majorHAnsi"/>
          <w:sz w:val="16"/>
          <w:szCs w:val="16"/>
          <w:vertAlign w:val="superscript"/>
        </w:rPr>
        <w:footnoteRef/>
      </w:r>
      <w:r w:rsidRPr="001A230B">
        <w:rPr>
          <w:rFonts w:asciiTheme="majorHAnsi" w:hAnsiTheme="majorHAnsi" w:cstheme="majorHAnsi"/>
          <w:sz w:val="16"/>
          <w:szCs w:val="16"/>
          <w:vertAlign w:val="superscript"/>
        </w:rPr>
        <w:t xml:space="preserve"> </w:t>
      </w:r>
      <w:proofErr w:type="spellStart"/>
      <w:r w:rsidRPr="001A230B">
        <w:rPr>
          <w:rFonts w:asciiTheme="majorHAnsi" w:eastAsia="Trebuchet MS" w:hAnsiTheme="majorHAnsi" w:cstheme="majorHAnsi"/>
          <w:sz w:val="16"/>
          <w:szCs w:val="16"/>
        </w:rPr>
        <w:t>Number</w:t>
      </w:r>
      <w:proofErr w:type="spellEnd"/>
      <w:r w:rsidRPr="001A230B">
        <w:rPr>
          <w:rFonts w:asciiTheme="majorHAnsi" w:eastAsia="Trebuchet MS" w:hAnsiTheme="majorHAnsi" w:cstheme="majorHAnsi"/>
          <w:sz w:val="16"/>
          <w:szCs w:val="16"/>
        </w:rPr>
        <w:t xml:space="preserve"> in </w:t>
      </w:r>
      <w:proofErr w:type="spellStart"/>
      <w:r w:rsidRPr="001A230B">
        <w:rPr>
          <w:rFonts w:asciiTheme="majorHAnsi" w:eastAsia="Trebuchet MS" w:hAnsiTheme="majorHAnsi" w:cstheme="majorHAnsi"/>
          <w:sz w:val="16"/>
          <w:szCs w:val="16"/>
        </w:rPr>
        <w:t>square</w:t>
      </w:r>
      <w:proofErr w:type="spellEnd"/>
      <w:r w:rsidRPr="001A230B">
        <w:rPr>
          <w:rFonts w:asciiTheme="majorHAnsi" w:eastAsia="Trebuchet MS" w:hAnsiTheme="majorHAnsi" w:cstheme="majorHAnsi"/>
          <w:sz w:val="16"/>
          <w:szCs w:val="16"/>
        </w:rPr>
        <w:t xml:space="preserve"> </w:t>
      </w:r>
      <w:proofErr w:type="spellStart"/>
      <w:r w:rsidRPr="001A230B">
        <w:rPr>
          <w:rFonts w:asciiTheme="majorHAnsi" w:eastAsia="Trebuchet MS" w:hAnsiTheme="majorHAnsi" w:cstheme="majorHAnsi"/>
          <w:sz w:val="16"/>
          <w:szCs w:val="16"/>
        </w:rPr>
        <w:t>brackets</w:t>
      </w:r>
      <w:proofErr w:type="spellEnd"/>
      <w:r w:rsidRPr="001A230B">
        <w:rPr>
          <w:rFonts w:asciiTheme="majorHAnsi" w:eastAsia="Trebuchet MS" w:hAnsiTheme="majorHAnsi" w:cstheme="majorHAnsi"/>
          <w:sz w:val="16"/>
          <w:szCs w:val="16"/>
        </w:rPr>
        <w:t xml:space="preserve"> refer </w:t>
      </w:r>
      <w:proofErr w:type="spellStart"/>
      <w:r w:rsidRPr="001A230B">
        <w:rPr>
          <w:rFonts w:asciiTheme="majorHAnsi" w:eastAsia="Trebuchet MS" w:hAnsiTheme="majorHAnsi" w:cstheme="majorHAnsi"/>
          <w:sz w:val="16"/>
          <w:szCs w:val="16"/>
        </w:rPr>
        <w:t>to</w:t>
      </w:r>
      <w:proofErr w:type="spellEnd"/>
      <w:r w:rsidRPr="001A230B">
        <w:rPr>
          <w:rFonts w:asciiTheme="majorHAnsi" w:eastAsia="Trebuchet MS" w:hAnsiTheme="majorHAnsi" w:cstheme="majorHAnsi"/>
          <w:sz w:val="16"/>
          <w:szCs w:val="16"/>
        </w:rPr>
        <w:t xml:space="preserve"> </w:t>
      </w:r>
      <w:proofErr w:type="spellStart"/>
      <w:r w:rsidRPr="001A230B">
        <w:rPr>
          <w:rFonts w:asciiTheme="majorHAnsi" w:eastAsia="Trebuchet MS" w:hAnsiTheme="majorHAnsi" w:cstheme="majorHAnsi"/>
          <w:sz w:val="16"/>
          <w:szCs w:val="16"/>
        </w:rPr>
        <w:t>number</w:t>
      </w:r>
      <w:proofErr w:type="spellEnd"/>
      <w:r w:rsidRPr="001A230B">
        <w:rPr>
          <w:rFonts w:asciiTheme="majorHAnsi" w:eastAsia="Trebuchet MS" w:hAnsiTheme="majorHAnsi" w:cstheme="majorHAnsi"/>
          <w:sz w:val="16"/>
          <w:szCs w:val="16"/>
        </w:rPr>
        <w:t xml:space="preserve"> of </w:t>
      </w:r>
      <w:proofErr w:type="spellStart"/>
      <w:r w:rsidRPr="001A230B">
        <w:rPr>
          <w:rFonts w:asciiTheme="majorHAnsi" w:eastAsia="Trebuchet MS" w:hAnsiTheme="majorHAnsi" w:cstheme="majorHAnsi"/>
          <w:sz w:val="16"/>
          <w:szCs w:val="16"/>
        </w:rPr>
        <w:t>characters</w:t>
      </w:r>
      <w:proofErr w:type="spellEnd"/>
      <w:r w:rsidRPr="001A230B">
        <w:rPr>
          <w:rFonts w:asciiTheme="majorHAnsi" w:eastAsia="Trebuchet MS" w:hAnsiTheme="majorHAnsi" w:cstheme="majorHAnsi"/>
          <w:sz w:val="16"/>
          <w:szCs w:val="16"/>
        </w:rPr>
        <w:t xml:space="preserve"> </w:t>
      </w:r>
      <w:proofErr w:type="spellStart"/>
      <w:r w:rsidRPr="001A230B">
        <w:rPr>
          <w:rFonts w:asciiTheme="majorHAnsi" w:eastAsia="Trebuchet MS" w:hAnsiTheme="majorHAnsi" w:cstheme="majorHAnsi"/>
          <w:i/>
          <w:sz w:val="16"/>
          <w:szCs w:val="16"/>
        </w:rPr>
        <w:t>without</w:t>
      </w:r>
      <w:proofErr w:type="spellEnd"/>
      <w:r w:rsidRPr="001A230B">
        <w:rPr>
          <w:rFonts w:asciiTheme="majorHAnsi" w:eastAsia="Trebuchet MS" w:hAnsiTheme="majorHAnsi" w:cstheme="majorHAnsi"/>
          <w:i/>
          <w:sz w:val="16"/>
          <w:szCs w:val="16"/>
        </w:rPr>
        <w:t xml:space="preserve"> </w:t>
      </w:r>
      <w:proofErr w:type="spellStart"/>
      <w:r w:rsidRPr="001A230B">
        <w:rPr>
          <w:rFonts w:asciiTheme="majorHAnsi" w:eastAsia="Trebuchet MS" w:hAnsiTheme="majorHAnsi" w:cstheme="majorHAnsi"/>
          <w:i/>
          <w:sz w:val="16"/>
          <w:szCs w:val="16"/>
        </w:rPr>
        <w:t>spaces</w:t>
      </w:r>
      <w:proofErr w:type="spellEnd"/>
      <w:r w:rsidRPr="001A230B">
        <w:rPr>
          <w:rFonts w:asciiTheme="majorHAnsi" w:eastAsia="Trebuchet MS" w:hAnsiTheme="majorHAnsi" w:cstheme="majorHAnsi"/>
          <w:i/>
          <w:sz w:val="16"/>
          <w:szCs w:val="16"/>
        </w:rPr>
        <w:t>.</w:t>
      </w:r>
    </w:p>
  </w:footnote>
  <w:footnote w:id="3">
    <w:p w14:paraId="362B4D1F" w14:textId="77777777" w:rsidR="00280487" w:rsidRDefault="00280487" w:rsidP="00C24F05">
      <w:pPr>
        <w:pBdr>
          <w:top w:val="nil"/>
          <w:left w:val="nil"/>
          <w:bottom w:val="nil"/>
          <w:right w:val="nil"/>
          <w:between w:val="nil"/>
        </w:pBdr>
        <w:spacing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4">
    <w:p w14:paraId="44F4427B" w14:textId="77777777" w:rsidR="00280487" w:rsidRDefault="00280487" w:rsidP="00E5757B">
      <w:pPr>
        <w:pBdr>
          <w:top w:val="nil"/>
          <w:left w:val="nil"/>
          <w:bottom w:val="nil"/>
          <w:right w:val="nil"/>
          <w:between w:val="nil"/>
        </w:pBdr>
        <w:spacing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5">
    <w:p w14:paraId="6AAAE41B" w14:textId="77777777" w:rsidR="00280487" w:rsidRDefault="00280487" w:rsidP="00E5757B">
      <w:pPr>
        <w:pBdr>
          <w:top w:val="nil"/>
          <w:left w:val="nil"/>
          <w:bottom w:val="nil"/>
          <w:right w:val="nil"/>
          <w:between w:val="nil"/>
        </w:pBdr>
        <w:spacing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6">
    <w:p w14:paraId="0D2E8DAA"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7">
    <w:p w14:paraId="4DFD6569"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replaced</w:t>
      </w:r>
      <w:proofErr w:type="spellEnd"/>
      <w:r>
        <w:rPr>
          <w:i/>
          <w:color w:val="000000"/>
          <w:sz w:val="20"/>
          <w:szCs w:val="20"/>
        </w:rPr>
        <w:t xml:space="preserve"> the table </w:t>
      </w:r>
      <w:proofErr w:type="spellStart"/>
      <w:r>
        <w:rPr>
          <w:i/>
          <w:color w:val="000000"/>
          <w:sz w:val="20"/>
          <w:szCs w:val="20"/>
        </w:rPr>
        <w:t>with</w:t>
      </w:r>
      <w:proofErr w:type="spellEnd"/>
      <w:r>
        <w:rPr>
          <w:i/>
          <w:color w:val="000000"/>
          <w:sz w:val="20"/>
          <w:szCs w:val="20"/>
        </w:rPr>
        <w:t xml:space="preserve"> a </w:t>
      </w:r>
      <w:proofErr w:type="spellStart"/>
      <w:r>
        <w:rPr>
          <w:i/>
          <w:color w:val="000000"/>
          <w:sz w:val="20"/>
          <w:szCs w:val="20"/>
        </w:rPr>
        <w:t>different</w:t>
      </w:r>
      <w:proofErr w:type="spellEnd"/>
      <w:r>
        <w:rPr>
          <w:i/>
          <w:color w:val="000000"/>
          <w:sz w:val="20"/>
          <w:szCs w:val="20"/>
        </w:rPr>
        <w:t xml:space="preserve"> </w:t>
      </w:r>
      <w:proofErr w:type="spellStart"/>
      <w:r>
        <w:rPr>
          <w:i/>
          <w:color w:val="000000"/>
          <w:sz w:val="20"/>
          <w:szCs w:val="20"/>
        </w:rPr>
        <w:t>one</w:t>
      </w:r>
      <w:proofErr w:type="spellEnd"/>
      <w:r>
        <w:rPr>
          <w:i/>
          <w:color w:val="000000"/>
          <w:sz w:val="20"/>
          <w:szCs w:val="20"/>
        </w:rPr>
        <w:t xml:space="preserve">, in the same </w:t>
      </w:r>
      <w:proofErr w:type="spellStart"/>
      <w:r>
        <w:rPr>
          <w:i/>
          <w:color w:val="000000"/>
          <w:sz w:val="20"/>
          <w:szCs w:val="20"/>
        </w:rPr>
        <w:t>manner</w:t>
      </w:r>
      <w:proofErr w:type="spellEnd"/>
      <w:r>
        <w:rPr>
          <w:i/>
          <w:color w:val="000000"/>
          <w:sz w:val="20"/>
          <w:szCs w:val="20"/>
        </w:rPr>
        <w:t xml:space="preserve"> as in the </w:t>
      </w:r>
      <w:proofErr w:type="spellStart"/>
      <w:r>
        <w:rPr>
          <w:i/>
          <w:color w:val="000000"/>
          <w:sz w:val="20"/>
          <w:szCs w:val="20"/>
        </w:rPr>
        <w:t>Annex</w:t>
      </w:r>
      <w:proofErr w:type="spellEnd"/>
      <w:r>
        <w:rPr>
          <w:i/>
          <w:color w:val="000000"/>
          <w:sz w:val="20"/>
          <w:szCs w:val="20"/>
        </w:rPr>
        <w:t xml:space="preserve"> V.</w:t>
      </w:r>
    </w:p>
  </w:footnote>
  <w:footnote w:id="8">
    <w:p w14:paraId="0D283EE5"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changed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of the </w:t>
      </w:r>
      <w:proofErr w:type="spellStart"/>
      <w:r>
        <w:rPr>
          <w:i/>
          <w:color w:val="000000"/>
          <w:sz w:val="20"/>
          <w:szCs w:val="20"/>
        </w:rPr>
        <w:t>appendix</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9">
    <w:p w14:paraId="5C01912F"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10">
    <w:p w14:paraId="432BA88B"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7CEDA89F" w14:textId="77777777" w:rsidR="001A230B" w:rsidRDefault="001A230B" w:rsidP="001A230B">
      <w:pPr>
        <w:pBdr>
          <w:top w:val="nil"/>
          <w:left w:val="nil"/>
          <w:bottom w:val="nil"/>
          <w:right w:val="nil"/>
          <w:between w:val="nil"/>
        </w:pBdr>
        <w:spacing w:after="0"/>
        <w:ind w:left="720" w:hanging="720"/>
        <w:rPr>
          <w:color w:val="000000"/>
          <w:sz w:val="20"/>
          <w:szCs w:val="20"/>
        </w:rPr>
      </w:pPr>
    </w:p>
  </w:footnote>
  <w:footnote w:id="11">
    <w:p w14:paraId="446ACA95" w14:textId="77777777" w:rsidR="001A230B" w:rsidRDefault="001A230B" w:rsidP="001A230B">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20"/>
          <w:szCs w:val="20"/>
        </w:rPr>
        <w:t xml:space="preserve"> </w:t>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deleted</w:t>
      </w:r>
      <w:proofErr w:type="spellEnd"/>
      <w:r>
        <w:rPr>
          <w:i/>
          <w:color w:val="000000"/>
          <w:sz w:val="20"/>
          <w:szCs w:val="20"/>
        </w:rPr>
        <w:t xml:space="preserve"> the text in [].</w:t>
      </w:r>
    </w:p>
  </w:footnote>
  <w:footnote w:id="12">
    <w:p w14:paraId="4FEA827B" w14:textId="77777777" w:rsidR="001A230B" w:rsidRDefault="001A230B" w:rsidP="001A230B">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16"/>
          <w:szCs w:val="16"/>
        </w:rPr>
        <w:t xml:space="preserve"> </w:t>
      </w:r>
      <w:proofErr w:type="spellStart"/>
      <w:r>
        <w:rPr>
          <w:color w:val="000000"/>
          <w:sz w:val="16"/>
          <w:szCs w:val="16"/>
        </w:rPr>
        <w:t>Several</w:t>
      </w:r>
      <w:proofErr w:type="spellEnd"/>
      <w:r>
        <w:rPr>
          <w:color w:val="000000"/>
          <w:sz w:val="16"/>
          <w:szCs w:val="16"/>
        </w:rPr>
        <w:t xml:space="preserve"> </w:t>
      </w:r>
      <w:proofErr w:type="spellStart"/>
      <w:r>
        <w:rPr>
          <w:color w:val="000000"/>
          <w:sz w:val="16"/>
          <w:szCs w:val="16"/>
        </w:rPr>
        <w:t>complementary</w:t>
      </w:r>
      <w:proofErr w:type="spellEnd"/>
      <w:r>
        <w:rPr>
          <w:color w:val="000000"/>
          <w:sz w:val="16"/>
          <w:szCs w:val="16"/>
        </w:rPr>
        <w:t xml:space="preserve"> </w:t>
      </w:r>
      <w:proofErr w:type="spellStart"/>
      <w:r>
        <w:rPr>
          <w:i/>
          <w:color w:val="000000"/>
          <w:sz w:val="16"/>
          <w:szCs w:val="16"/>
        </w:rPr>
        <w:t>common</w:t>
      </w:r>
      <w:proofErr w:type="spellEnd"/>
      <w:r>
        <w:rPr>
          <w:color w:val="000000"/>
          <w:sz w:val="16"/>
          <w:szCs w:val="16"/>
        </w:rPr>
        <w:t xml:space="preserve"> </w:t>
      </w:r>
      <w:proofErr w:type="spellStart"/>
      <w:r>
        <w:rPr>
          <w:color w:val="000000"/>
          <w:sz w:val="16"/>
          <w:szCs w:val="16"/>
        </w:rPr>
        <w:t>indicators</w:t>
      </w:r>
      <w:proofErr w:type="spellEnd"/>
      <w:r>
        <w:rPr>
          <w:color w:val="000000"/>
          <w:sz w:val="16"/>
          <w:szCs w:val="16"/>
        </w:rPr>
        <w:t xml:space="preserve"> (for </w:t>
      </w:r>
      <w:proofErr w:type="spellStart"/>
      <w:r>
        <w:rPr>
          <w:color w:val="000000"/>
          <w:sz w:val="16"/>
          <w:szCs w:val="16"/>
        </w:rPr>
        <w:t>instance</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output indicator </w:t>
      </w:r>
      <w:proofErr w:type="spellStart"/>
      <w:r>
        <w:rPr>
          <w:color w:val="000000"/>
          <w:sz w:val="16"/>
          <w:szCs w:val="16"/>
        </w:rPr>
        <w:t>and</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result</w:t>
      </w:r>
      <w:proofErr w:type="spellEnd"/>
      <w:r>
        <w:rPr>
          <w:color w:val="000000"/>
          <w:sz w:val="16"/>
          <w:szCs w:val="16"/>
        </w:rPr>
        <w:t xml:space="preserve"> indicator) are </w:t>
      </w:r>
      <w:proofErr w:type="spellStart"/>
      <w:r>
        <w:rPr>
          <w:color w:val="000000"/>
          <w:sz w:val="16"/>
          <w:szCs w:val="16"/>
        </w:rPr>
        <w:t>possible</w:t>
      </w:r>
      <w:proofErr w:type="spellEnd"/>
      <w:r>
        <w:rPr>
          <w:color w:val="000000"/>
          <w:sz w:val="16"/>
          <w:szCs w:val="16"/>
        </w:rPr>
        <w:t xml:space="preserve"> for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type</w:t>
      </w:r>
      <w:proofErr w:type="spellEnd"/>
      <w:r>
        <w:rPr>
          <w:color w:val="000000"/>
          <w:sz w:val="16"/>
          <w:szCs w:val="16"/>
        </w:rPr>
        <w:t xml:space="preserve"> of </w:t>
      </w:r>
      <w:proofErr w:type="spellStart"/>
      <w:r>
        <w:rPr>
          <w:color w:val="000000"/>
          <w:sz w:val="16"/>
          <w:szCs w:val="16"/>
        </w:rPr>
        <w:t>operation</w:t>
      </w:r>
      <w:proofErr w:type="spellEnd"/>
      <w:r>
        <w:rPr>
          <w:color w:val="000000"/>
          <w:sz w:val="16"/>
          <w:szCs w:val="16"/>
        </w:rPr>
        <w:t xml:space="preserve">. In </w:t>
      </w:r>
      <w:proofErr w:type="spellStart"/>
      <w:r>
        <w:rPr>
          <w:color w:val="000000"/>
          <w:sz w:val="16"/>
          <w:szCs w:val="16"/>
        </w:rPr>
        <w:t>these</w:t>
      </w:r>
      <w:proofErr w:type="spellEnd"/>
      <w:r>
        <w:rPr>
          <w:color w:val="000000"/>
          <w:sz w:val="16"/>
          <w:szCs w:val="16"/>
        </w:rPr>
        <w:t xml:space="preserve"> </w:t>
      </w:r>
      <w:proofErr w:type="spellStart"/>
      <w:r>
        <w:rPr>
          <w:color w:val="000000"/>
          <w:sz w:val="16"/>
          <w:szCs w:val="16"/>
        </w:rPr>
        <w:t>cases</w:t>
      </w:r>
      <w:proofErr w:type="spellEnd"/>
      <w:r>
        <w:rPr>
          <w:color w:val="000000"/>
          <w:sz w:val="16"/>
          <w:szCs w:val="16"/>
        </w:rPr>
        <w:t xml:space="preserve">, </w:t>
      </w:r>
      <w:proofErr w:type="spellStart"/>
      <w:r>
        <w:rPr>
          <w:color w:val="000000"/>
          <w:sz w:val="16"/>
          <w:szCs w:val="16"/>
        </w:rPr>
        <w:t>fields</w:t>
      </w:r>
      <w:proofErr w:type="spellEnd"/>
      <w:r>
        <w:rPr>
          <w:color w:val="000000"/>
          <w:sz w:val="16"/>
          <w:szCs w:val="16"/>
        </w:rPr>
        <w:t xml:space="preserve"> 1.3 </w:t>
      </w:r>
      <w:proofErr w:type="spellStart"/>
      <w:r>
        <w:rPr>
          <w:color w:val="000000"/>
          <w:sz w:val="16"/>
          <w:szCs w:val="16"/>
        </w:rPr>
        <w:t>to</w:t>
      </w:r>
      <w:proofErr w:type="spellEnd"/>
      <w:r>
        <w:rPr>
          <w:color w:val="000000"/>
          <w:sz w:val="16"/>
          <w:szCs w:val="16"/>
        </w:rPr>
        <w:t xml:space="preserve"> 1.11 </w:t>
      </w:r>
      <w:proofErr w:type="spellStart"/>
      <w:r>
        <w:rPr>
          <w:color w:val="000000"/>
          <w:sz w:val="16"/>
          <w:szCs w:val="16"/>
        </w:rPr>
        <w:t>should</w:t>
      </w:r>
      <w:proofErr w:type="spellEnd"/>
      <w:r>
        <w:rPr>
          <w:color w:val="000000"/>
          <w:sz w:val="16"/>
          <w:szCs w:val="16"/>
        </w:rPr>
        <w:t xml:space="preserve"> </w:t>
      </w:r>
      <w:proofErr w:type="spellStart"/>
      <w:r>
        <w:rPr>
          <w:color w:val="000000"/>
          <w:sz w:val="16"/>
          <w:szCs w:val="16"/>
        </w:rPr>
        <w:t>be</w:t>
      </w:r>
      <w:proofErr w:type="spellEnd"/>
      <w:r>
        <w:rPr>
          <w:color w:val="000000"/>
          <w:sz w:val="16"/>
          <w:szCs w:val="16"/>
        </w:rPr>
        <w:t xml:space="preserve"> </w:t>
      </w:r>
      <w:proofErr w:type="spellStart"/>
      <w:r>
        <w:rPr>
          <w:color w:val="000000"/>
          <w:sz w:val="16"/>
          <w:szCs w:val="16"/>
        </w:rPr>
        <w:t>filled</w:t>
      </w:r>
      <w:proofErr w:type="spellEnd"/>
      <w:r>
        <w:rPr>
          <w:color w:val="000000"/>
          <w:sz w:val="16"/>
          <w:szCs w:val="16"/>
        </w:rPr>
        <w:t xml:space="preserve"> in for </w:t>
      </w:r>
      <w:proofErr w:type="spellStart"/>
      <w:r>
        <w:rPr>
          <w:color w:val="000000"/>
          <w:sz w:val="16"/>
          <w:szCs w:val="16"/>
        </w:rPr>
        <w:t>each</w:t>
      </w:r>
      <w:proofErr w:type="spellEnd"/>
      <w:r>
        <w:rPr>
          <w:color w:val="000000"/>
          <w:sz w:val="16"/>
          <w:szCs w:val="16"/>
        </w:rPr>
        <w:t xml:space="preserve"> indicator.</w:t>
      </w:r>
    </w:p>
  </w:footnote>
  <w:footnote w:id="13">
    <w:p w14:paraId="729C860B"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amended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14">
    <w:p w14:paraId="79CF3A45"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15">
    <w:p w14:paraId="1DFB6706"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50AC11B1" w14:textId="77777777" w:rsidR="001A230B" w:rsidRDefault="001A230B" w:rsidP="001A230B">
      <w:pPr>
        <w:pBdr>
          <w:top w:val="nil"/>
          <w:left w:val="nil"/>
          <w:bottom w:val="nil"/>
          <w:right w:val="nil"/>
          <w:between w:val="nil"/>
        </w:pBdr>
        <w:spacing w:after="0"/>
        <w:ind w:left="720" w:hanging="720"/>
        <w:rPr>
          <w:color w:val="000000"/>
          <w:sz w:val="20"/>
          <w:szCs w:val="20"/>
        </w:rPr>
      </w:pPr>
    </w:p>
  </w:footnote>
  <w:footnote w:id="16">
    <w:p w14:paraId="742F9C33" w14:textId="77777777" w:rsidR="001A230B" w:rsidRDefault="001A230B" w:rsidP="001A230B">
      <w:pPr>
        <w:pBdr>
          <w:top w:val="nil"/>
          <w:left w:val="nil"/>
          <w:bottom w:val="nil"/>
          <w:right w:val="nil"/>
          <w:between w:val="nil"/>
        </w:pBdr>
        <w:spacing w:after="0"/>
        <w:ind w:left="720" w:hanging="720"/>
        <w:rPr>
          <w:b/>
          <w:i/>
          <w:color w:val="000000"/>
          <w:sz w:val="20"/>
          <w:szCs w:val="20"/>
          <w:u w:val="single"/>
        </w:rPr>
      </w:pPr>
      <w:r>
        <w:rPr>
          <w:vertAlign w:val="superscript"/>
        </w:rPr>
        <w:footnoteRef/>
      </w:r>
      <w:r>
        <w:rPr>
          <w:i/>
          <w:color w:val="000000"/>
          <w:sz w:val="20"/>
          <w:szCs w:val="20"/>
        </w:rPr>
        <w:t xml:space="preserve"> </w:t>
      </w:r>
      <w:r>
        <w:rPr>
          <w:i/>
          <w:color w:val="000000"/>
          <w:sz w:val="20"/>
          <w:szCs w:val="20"/>
        </w:rPr>
        <w:t xml:space="preserve">The Council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17">
    <w:p w14:paraId="618835C1" w14:textId="77777777" w:rsidR="001A230B" w:rsidRDefault="001A230B" w:rsidP="001A230B">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Annex</w:t>
      </w:r>
      <w:proofErr w:type="spellEnd"/>
      <w:r>
        <w:rPr>
          <w:i/>
          <w:color w:val="000000"/>
          <w:sz w:val="20"/>
          <w:szCs w:val="20"/>
        </w:rPr>
        <w:t xml:space="preserve"> VI</w:t>
      </w:r>
    </w:p>
  </w:footnote>
  <w:footnote w:id="18">
    <w:p w14:paraId="4183163D" w14:textId="77777777" w:rsidR="001A230B" w:rsidRDefault="001A230B" w:rsidP="001A230B">
      <w:pPr>
        <w:pBdr>
          <w:top w:val="nil"/>
          <w:left w:val="nil"/>
          <w:bottom w:val="nil"/>
          <w:right w:val="nil"/>
          <w:between w:val="nil"/>
        </w:pBdr>
        <w:spacing w:after="0"/>
        <w:rPr>
          <w:b/>
          <w:i/>
          <w:color w:val="000000"/>
          <w:sz w:val="20"/>
          <w:szCs w:val="20"/>
          <w:u w:val="single"/>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point</w:t>
      </w:r>
      <w:proofErr w:type="spellEnd"/>
      <w:r>
        <w:rPr>
          <w:i/>
          <w:color w:val="000000"/>
          <w:sz w:val="20"/>
          <w:szCs w:val="20"/>
        </w:rPr>
        <w:t xml:space="preserve"> 1.10a, </w:t>
      </w:r>
      <w:proofErr w:type="spellStart"/>
      <w:r>
        <w:rPr>
          <w:i/>
          <w:color w:val="000000"/>
          <w:sz w:val="20"/>
          <w:szCs w:val="20"/>
        </w:rPr>
        <w:t>which</w:t>
      </w:r>
      <w:proofErr w:type="spellEnd"/>
      <w:r>
        <w:rPr>
          <w:i/>
          <w:color w:val="000000"/>
          <w:sz w:val="20"/>
          <w:szCs w:val="20"/>
        </w:rPr>
        <w:t xml:space="preserve"> COM </w:t>
      </w:r>
      <w:proofErr w:type="spellStart"/>
      <w:r>
        <w:rPr>
          <w:i/>
          <w:color w:val="000000"/>
          <w:sz w:val="20"/>
          <w:szCs w:val="20"/>
        </w:rPr>
        <w:t>is</w:t>
      </w:r>
      <w:proofErr w:type="spellEnd"/>
      <w:r>
        <w:rPr>
          <w:i/>
          <w:color w:val="000000"/>
          <w:sz w:val="20"/>
          <w:szCs w:val="20"/>
        </w:rPr>
        <w:t xml:space="preserve"> </w:t>
      </w:r>
      <w:proofErr w:type="spellStart"/>
      <w:r>
        <w:rPr>
          <w:i/>
          <w:color w:val="000000"/>
          <w:sz w:val="20"/>
          <w:szCs w:val="20"/>
        </w:rPr>
        <w:t>proposing</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amend</w:t>
      </w:r>
      <w:proofErr w:type="spellEnd"/>
      <w:r>
        <w:rPr>
          <w:i/>
          <w:color w:val="000000"/>
          <w:sz w:val="20"/>
          <w:szCs w:val="20"/>
        </w:rPr>
        <w:t xml:space="preserve"> in </w:t>
      </w:r>
      <w:proofErr w:type="spellStart"/>
      <w:r>
        <w:rPr>
          <w:i/>
          <w:color w:val="000000"/>
          <w:sz w:val="20"/>
          <w:szCs w:val="20"/>
        </w:rPr>
        <w:t>order</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improve</w:t>
      </w:r>
      <w:proofErr w:type="spellEnd"/>
      <w:r>
        <w:rPr>
          <w:i/>
          <w:color w:val="000000"/>
          <w:sz w:val="20"/>
          <w:szCs w:val="20"/>
        </w:rPr>
        <w:t xml:space="preserve"> </w:t>
      </w:r>
      <w:proofErr w:type="spellStart"/>
      <w:r>
        <w:rPr>
          <w:i/>
          <w:color w:val="000000"/>
          <w:sz w:val="20"/>
          <w:szCs w:val="20"/>
        </w:rPr>
        <w:t>clarity</w:t>
      </w:r>
      <w:proofErr w:type="spellEnd"/>
      <w:r>
        <w:rPr>
          <w:i/>
          <w:color w:val="000000"/>
          <w:sz w:val="20"/>
          <w:szCs w:val="20"/>
        </w:rPr>
        <w:t>.</w:t>
      </w:r>
    </w:p>
  </w:footnote>
  <w:footnote w:id="19">
    <w:p w14:paraId="5CF8F5EE" w14:textId="77777777" w:rsidR="001A230B" w:rsidRDefault="001A230B" w:rsidP="001A230B">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20"/>
          <w:szCs w:val="20"/>
        </w:rPr>
        <w:t xml:space="preserve"> </w:t>
      </w:r>
      <w:proofErr w:type="spellStart"/>
      <w:r>
        <w:rPr>
          <w:i/>
          <w:color w:val="000000"/>
          <w:sz w:val="20"/>
          <w:szCs w:val="20"/>
        </w:rPr>
        <w:t>Pending</w:t>
      </w:r>
      <w:proofErr w:type="spellEnd"/>
      <w:r>
        <w:rPr>
          <w:i/>
          <w:color w:val="000000"/>
          <w:sz w:val="20"/>
          <w:szCs w:val="20"/>
        </w:rPr>
        <w:t xml:space="preserve"> </w:t>
      </w:r>
      <w:proofErr w:type="spellStart"/>
      <w:r>
        <w:rPr>
          <w:i/>
          <w:color w:val="000000"/>
          <w:sz w:val="20"/>
          <w:szCs w:val="20"/>
        </w:rPr>
        <w:t>agreed</w:t>
      </w:r>
      <w:proofErr w:type="spellEnd"/>
      <w:r>
        <w:rPr>
          <w:i/>
          <w:color w:val="000000"/>
          <w:sz w:val="20"/>
          <w:szCs w:val="20"/>
        </w:rPr>
        <w:t xml:space="preserve"> </w:t>
      </w:r>
      <w:proofErr w:type="spellStart"/>
      <w:r>
        <w:rPr>
          <w:i/>
          <w:color w:val="000000"/>
          <w:sz w:val="20"/>
          <w:szCs w:val="20"/>
        </w:rPr>
        <w:t>approach</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thematic</w:t>
      </w:r>
      <w:proofErr w:type="spellEnd"/>
      <w:r>
        <w:rPr>
          <w:i/>
          <w:color w:val="000000"/>
          <w:sz w:val="20"/>
          <w:szCs w:val="20"/>
        </w:rPr>
        <w:t xml:space="preserve"> </w:t>
      </w:r>
      <w:proofErr w:type="spellStart"/>
      <w:r>
        <w:rPr>
          <w:i/>
          <w:color w:val="000000"/>
          <w:sz w:val="20"/>
          <w:szCs w:val="20"/>
        </w:rPr>
        <w:t>facility</w:t>
      </w:r>
      <w:proofErr w:type="spellEnd"/>
      <w:r>
        <w:rPr>
          <w:i/>
          <w:color w:val="000000"/>
          <w:sz w:val="20"/>
          <w:szCs w:val="20"/>
        </w:rPr>
        <w:t xml:space="preserve"> </w:t>
      </w:r>
      <w:proofErr w:type="spellStart"/>
      <w:r>
        <w:rPr>
          <w:i/>
          <w:color w:val="000000"/>
          <w:sz w:val="20"/>
          <w:szCs w:val="20"/>
        </w:rPr>
        <w:t>under</w:t>
      </w:r>
      <w:proofErr w:type="spellEnd"/>
      <w:r>
        <w:rPr>
          <w:i/>
          <w:color w:val="000000"/>
          <w:sz w:val="20"/>
          <w:szCs w:val="20"/>
        </w:rPr>
        <w:t xml:space="preserve"> Fund-specific </w:t>
      </w:r>
      <w:proofErr w:type="spellStart"/>
      <w:r>
        <w:rPr>
          <w:i/>
          <w:color w:val="000000"/>
          <w:sz w:val="20"/>
          <w:szCs w:val="20"/>
        </w:rPr>
        <w:t>Regulations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4447"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55FF8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5" o:spid="_x0000_s2068" type="#_x0000_t136" style="position:absolute;margin-left:0;margin-top:0;width:485.3pt;height:194.1pt;rotation:315;z-index:-25161318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776D"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0EB77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4" o:spid="_x0000_s2077" type="#_x0000_t136" style="position:absolute;margin-left:0;margin-top:0;width:485.3pt;height:194.1pt;rotation:315;z-index:-25160396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661E"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30504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5" o:spid="_x0000_s2078" type="#_x0000_t136" style="position:absolute;margin-left:0;margin-top:0;width:485.3pt;height:194.1pt;rotation:315;z-index:-25160294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E4E0"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12669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3" o:spid="_x0000_s2076" type="#_x0000_t136" style="position:absolute;margin-left:0;margin-top:0;width:485.3pt;height:194.1pt;rotation:315;z-index:-25160499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3899"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03C3B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7" o:spid="_x0000_s2080" type="#_x0000_t136" style="position:absolute;margin-left:0;margin-top:0;width:485.3pt;height:194.1pt;rotation:315;z-index:-25160089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3244"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066D3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8" o:spid="_x0000_s2081" type="#_x0000_t136" style="position:absolute;margin-left:0;margin-top:0;width:485.3pt;height:194.1pt;rotation:315;z-index:-25159987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0A38"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268D1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6" o:spid="_x0000_s2079" type="#_x0000_t136" style="position:absolute;margin-left:0;margin-top:0;width:485.3pt;height:194.1pt;rotation:315;z-index:-25160192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9333" w14:textId="0B1DAA98" w:rsidR="00280487" w:rsidRDefault="00280487">
    <w:r>
      <w:rPr>
        <w:noProof/>
      </w:rPr>
      <w:pict w14:anchorId="662DE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47609" o:spid="_x0000_s2065" type="#_x0000_t136" style="position:absolute;margin-left:0;margin-top:0;width:485.3pt;height:194.1pt;rotation:315;z-index:-251618304;mso-position-horizontal:center;mso-position-horizontal-relative:margin;mso-position-vertical:center;mso-position-vertical-relative:margin" o:allowincell="f" fillcolor="#0d0d0d [3069]" stroked="f">
          <v:fill opacity=".5"/>
          <v:textpath style="font-family:&quot;Trebuchet MS&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9B77" w14:textId="45D16A73" w:rsidR="00280487" w:rsidRDefault="00280487">
    <w:r>
      <w:rPr>
        <w:noProof/>
      </w:rPr>
      <w:pict w14:anchorId="59FC7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47610" o:spid="_x0000_s2066" type="#_x0000_t136" style="position:absolute;margin-left:0;margin-top:0;width:485.3pt;height:194.1pt;rotation:315;z-index:-251616256;mso-position-horizontal:center;mso-position-horizontal-relative:margin;mso-position-vertical:center;mso-position-vertical-relative:margin" o:allowincell="f" fillcolor="#0d0d0d [3069]" stroked="f">
          <v:fill opacity=".5"/>
          <v:textpath style="font-family:&quot;Trebuchet MS&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55A9" w14:textId="1565581B" w:rsidR="00280487" w:rsidRDefault="00280487">
    <w:r>
      <w:rPr>
        <w:noProof/>
      </w:rPr>
      <w:pict w14:anchorId="796AE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47608" o:spid="_x0000_s2064" type="#_x0000_t136" style="position:absolute;margin-left:0;margin-top:0;width:485.3pt;height:194.1pt;rotation:315;z-index:-251620352;mso-position-horizontal:center;mso-position-horizontal-relative:margin;mso-position-vertical:center;mso-position-vertical-relative:margin" o:allowincell="f" fillcolor="#0d0d0d [3069]"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60C2" w14:textId="77777777" w:rsidR="001A230B" w:rsidRPr="00815221" w:rsidRDefault="001A230B" w:rsidP="00815221">
    <w:pPr>
      <w:spacing w:after="0"/>
      <w:rPr>
        <w:sz w:val="18"/>
        <w:szCs w:val="18"/>
      </w:rPr>
    </w:pPr>
    <w:r w:rsidRPr="00815221">
      <w:rPr>
        <w:noProof/>
        <w:sz w:val="18"/>
        <w:szCs w:val="18"/>
      </w:rPr>
      <w:pict w14:anchorId="4716E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6" o:spid="_x0000_s2069" type="#_x0000_t136" style="position:absolute;margin-left:0;margin-top:0;width:485.3pt;height:194.1pt;rotation:315;z-index:-25161216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815221">
      <w:rPr>
        <w:rFonts w:asciiTheme="majorHAnsi" w:hAnsiTheme="majorHAnsi" w:cstheme="majorHAnsi"/>
        <w:sz w:val="18"/>
        <w:szCs w:val="18"/>
      </w:rPr>
      <w:t>PROGRAMUL NAȚIONAL - FONDUL AZIL, MIGRAȚIE ȘI INTEGRARE 2021-2027 – draft 28102020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DEEA"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54C4C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4" o:spid="_x0000_s2067" type="#_x0000_t136" style="position:absolute;margin-left:0;margin-top:0;width:485.3pt;height:194.1pt;rotation:315;z-index:-25161420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9C63E5">
      <w:rPr>
        <w:rFonts w:asciiTheme="majorHAnsi" w:hAnsiTheme="majorHAnsi" w:cstheme="majorHAnsi"/>
      </w:rPr>
      <w:t>PROGRAMUL NAȚIONAL PENTRU FONDUL AZIL, MIGRAȚIE ȘI INTEGRARE</w:t>
    </w:r>
    <w:r>
      <w:rPr>
        <w:rFonts w:asciiTheme="majorHAnsi" w:hAnsiTheme="majorHAnsi" w:cstheme="majorHAnsi"/>
      </w:rPr>
      <w:t xml:space="preserve"> - </w:t>
    </w:r>
    <w:r w:rsidRPr="009C63E5">
      <w:rPr>
        <w:rFonts w:asciiTheme="majorHAnsi" w:hAnsiTheme="majorHAnsi" w:cstheme="majorHAnsi"/>
      </w:rPr>
      <w:t>Draft1 – 28.10.2020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5881"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1C19E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8" o:spid="_x0000_s2071" type="#_x0000_t136" style="position:absolute;margin-left:0;margin-top:0;width:485.3pt;height:194.1pt;rotation:315;z-index:-25161011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F33E" w14:textId="77777777" w:rsidR="001A230B" w:rsidRDefault="001A230B">
    <w:pPr>
      <w:pBdr>
        <w:top w:val="nil"/>
        <w:left w:val="nil"/>
        <w:bottom w:val="single" w:sz="4" w:space="1" w:color="7B6F46"/>
        <w:right w:val="nil"/>
        <w:between w:val="nil"/>
      </w:pBdr>
      <w:tabs>
        <w:tab w:val="center" w:pos="4535"/>
        <w:tab w:val="right" w:pos="9071"/>
        <w:tab w:val="right" w:pos="9921"/>
        <w:tab w:val="right" w:pos="8820"/>
      </w:tabs>
      <w:spacing w:before="360" w:after="0"/>
      <w:ind w:left="-850" w:right="3027"/>
      <w:jc w:val="center"/>
      <w:rPr>
        <w:color w:val="000000"/>
      </w:rPr>
    </w:pPr>
    <w:r>
      <w:rPr>
        <w:noProof/>
      </w:rPr>
      <w:pict w14:anchorId="28921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9" o:spid="_x0000_s2072" type="#_x0000_t136" style="position:absolute;left:0;text-align:left;margin-left:0;margin-top:0;width:485.3pt;height:194.1pt;rotation:315;z-index:-25160908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2B96"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0752D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7" o:spid="_x0000_s2070" type="#_x0000_t136" style="position:absolute;margin-left:0;margin-top:0;width:485.3pt;height:194.1pt;rotation:315;z-index:-25161113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D2A0"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102B2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1" o:spid="_x0000_s2074" type="#_x0000_t136" style="position:absolute;margin-left:0;margin-top:0;width:485.3pt;height:194.1pt;rotation:315;z-index:-25160704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0736" w14:textId="77777777" w:rsidR="001A230B" w:rsidRDefault="001A230B">
    <w:pPr>
      <w:pBdr>
        <w:top w:val="nil"/>
        <w:left w:val="nil"/>
        <w:bottom w:val="nil"/>
        <w:right w:val="nil"/>
        <w:between w:val="nil"/>
      </w:pBdr>
      <w:tabs>
        <w:tab w:val="center" w:pos="4535"/>
        <w:tab w:val="right" w:pos="9071"/>
      </w:tabs>
      <w:rPr>
        <w:color w:val="000000"/>
      </w:rPr>
    </w:pPr>
    <w:r>
      <w:rPr>
        <w:noProof/>
      </w:rPr>
      <w:pict w14:anchorId="61DC8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2" o:spid="_x0000_s2075" type="#_x0000_t136" style="position:absolute;margin-left:0;margin-top:0;width:485.3pt;height:194.1pt;rotation:315;z-index:-25160601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8FF6" w14:textId="77777777" w:rsidR="001A230B" w:rsidRDefault="001A230B">
    <w:pPr>
      <w:pBdr>
        <w:top w:val="nil"/>
        <w:left w:val="nil"/>
        <w:bottom w:val="nil"/>
        <w:right w:val="nil"/>
        <w:between w:val="nil"/>
      </w:pBdr>
      <w:tabs>
        <w:tab w:val="center" w:pos="7285"/>
        <w:tab w:val="right" w:pos="14003"/>
      </w:tabs>
      <w:rPr>
        <w:color w:val="000000"/>
      </w:rPr>
    </w:pPr>
    <w:r>
      <w:rPr>
        <w:noProof/>
      </w:rPr>
      <w:pict w14:anchorId="64C5A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0" o:spid="_x0000_s2073" type="#_x0000_t136" style="position:absolute;margin-left:0;margin-top:0;width:485.3pt;height:194.1pt;rotation:315;z-index:-25160806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C6"/>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BC80F99"/>
    <w:multiLevelType w:val="multilevel"/>
    <w:tmpl w:val="08B2143A"/>
    <w:lvl w:ilvl="0">
      <w:start w:val="1"/>
      <w:numFmt w:val="decimal"/>
      <w:lvlText w:val="%1."/>
      <w:lvlJc w:val="left"/>
      <w:pPr>
        <w:ind w:left="10" w:hanging="1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2" w15:restartNumberingAfterBreak="0">
    <w:nsid w:val="1FBD608B"/>
    <w:multiLevelType w:val="multilevel"/>
    <w:tmpl w:val="0694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3C0121"/>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A8A2199"/>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6D95E0A"/>
    <w:multiLevelType w:val="multilevel"/>
    <w:tmpl w:val="F6140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33"/>
    <w:rsid w:val="001A230B"/>
    <w:rsid w:val="00280487"/>
    <w:rsid w:val="002F4698"/>
    <w:rsid w:val="00401C52"/>
    <w:rsid w:val="0042331A"/>
    <w:rsid w:val="008D5733"/>
    <w:rsid w:val="009501D5"/>
    <w:rsid w:val="00AB3405"/>
    <w:rsid w:val="00AD2CCB"/>
    <w:rsid w:val="00C24F05"/>
    <w:rsid w:val="00C34469"/>
    <w:rsid w:val="00CE2C08"/>
    <w:rsid w:val="00E575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11A1C0FB"/>
  <w15:docId w15:val="{006C6907-818B-43C0-8A98-D9B6B5C0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uiPriority w:val="9"/>
    <w:qFormat/>
    <w:rsid w:val="002F4698"/>
    <w:pPr>
      <w:spacing w:line="240" w:lineRule="auto"/>
      <w:ind w:left="0" w:firstLine="0"/>
      <w:outlineLvl w:val="0"/>
    </w:pPr>
    <w:rPr>
      <w:rFonts w:asciiTheme="majorHAnsi" w:hAnsiTheme="majorHAnsi" w:cstheme="majorHAnsi"/>
      <w:color w:val="808080" w:themeColor="background1" w:themeShade="80"/>
      <w:sz w:val="20"/>
      <w:szCs w:val="20"/>
    </w:rPr>
  </w:style>
  <w:style w:type="paragraph" w:styleId="Heading2">
    <w:name w:val="heading 2"/>
    <w:basedOn w:val="Normal"/>
    <w:next w:val="Normal"/>
    <w:uiPriority w:val="9"/>
    <w:unhideWhenUsed/>
    <w:qFormat/>
    <w:pPr>
      <w:keepNext/>
      <w:keepLines/>
      <w:spacing w:after="10" w:line="249" w:lineRule="auto"/>
      <w:ind w:left="1642" w:hanging="10"/>
      <w:outlineLvl w:val="1"/>
    </w:pPr>
    <w:rPr>
      <w:rFonts w:ascii="Trebuchet MS" w:eastAsia="Trebuchet MS" w:hAnsi="Trebuchet MS" w:cs="Trebuchet MS"/>
      <w:b/>
      <w:sz w:val="24"/>
      <w:szCs w:val="24"/>
    </w:rPr>
  </w:style>
  <w:style w:type="paragraph" w:styleId="Heading3">
    <w:name w:val="heading 3"/>
    <w:basedOn w:val="Normal"/>
    <w:next w:val="Normal"/>
    <w:uiPriority w:val="9"/>
    <w:unhideWhenUsed/>
    <w:qFormat/>
    <w:pPr>
      <w:keepNext/>
      <w:keepLines/>
      <w:spacing w:after="10" w:line="249" w:lineRule="auto"/>
      <w:ind w:left="1642" w:hanging="10"/>
      <w:outlineLvl w:val="2"/>
    </w:pPr>
    <w:rPr>
      <w:rFonts w:ascii="Trebuchet MS" w:eastAsia="Trebuchet MS" w:hAnsi="Trebuchet MS" w:cs="Trebuchet MS"/>
      <w:b/>
      <w:sz w:val="24"/>
      <w:szCs w:val="24"/>
    </w:rPr>
  </w:style>
  <w:style w:type="paragraph" w:styleId="Heading4">
    <w:name w:val="heading 4"/>
    <w:basedOn w:val="Normal"/>
    <w:next w:val="Normal"/>
    <w:uiPriority w:val="9"/>
    <w:unhideWhenUsed/>
    <w:qFormat/>
    <w:pPr>
      <w:keepNext/>
      <w:keepLines/>
      <w:spacing w:after="10" w:line="240" w:lineRule="auto"/>
      <w:ind w:left="201" w:hanging="10"/>
      <w:outlineLvl w:val="3"/>
    </w:pPr>
    <w:rPr>
      <w:rFonts w:ascii="Trebuchet MS" w:eastAsia="Trebuchet MS" w:hAnsi="Trebuchet MS" w:cs="Trebuchet MS"/>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Trebuchet MS" w:eastAsia="Trebuchet MS" w:hAnsi="Trebuchet MS" w:cs="Trebuchet M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7" w:type="dxa"/>
        <w:right w:w="61" w:type="dxa"/>
      </w:tblCellMar>
    </w:tblPr>
  </w:style>
  <w:style w:type="table" w:customStyle="1" w:styleId="a0">
    <w:basedOn w:val="TableNormal"/>
    <w:pPr>
      <w:spacing w:after="0" w:line="240" w:lineRule="auto"/>
    </w:pPr>
    <w:tblPr>
      <w:tblStyleRowBandSize w:val="1"/>
      <w:tblStyleColBandSize w:val="1"/>
      <w:tblCellMar>
        <w:top w:w="129" w:type="dxa"/>
        <w:right w:w="115" w:type="dxa"/>
      </w:tblCellMar>
    </w:tblPr>
  </w:style>
  <w:style w:type="table" w:customStyle="1" w:styleId="a1">
    <w:basedOn w:val="TableNormal"/>
    <w:pPr>
      <w:spacing w:after="0" w:line="240" w:lineRule="auto"/>
    </w:pPr>
    <w:tblPr>
      <w:tblStyleRowBandSize w:val="1"/>
      <w:tblStyleColBandSize w:val="1"/>
      <w:tblCellMar>
        <w:top w:w="128" w:type="dxa"/>
        <w:right w:w="69"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table" w:customStyle="1" w:styleId="a3">
    <w:basedOn w:val="TableNormal"/>
    <w:pPr>
      <w:spacing w:after="0" w:line="240" w:lineRule="auto"/>
    </w:pPr>
    <w:tblPr>
      <w:tblStyleRowBandSize w:val="1"/>
      <w:tblStyleColBandSize w:val="1"/>
      <w:tblCellMar>
        <w:right w:w="115" w:type="dxa"/>
      </w:tblCellMar>
    </w:tblPr>
  </w:style>
  <w:style w:type="table" w:customStyle="1" w:styleId="a4">
    <w:basedOn w:val="TableNormal"/>
    <w:pPr>
      <w:spacing w:after="0" w:line="240" w:lineRule="auto"/>
    </w:pPr>
    <w:tblPr>
      <w:tblStyleRowBandSize w:val="1"/>
      <w:tblStyleColBandSize w:val="1"/>
      <w:tblCellMar>
        <w:right w:w="115" w:type="dxa"/>
      </w:tblCellMar>
    </w:tblPr>
  </w:style>
  <w:style w:type="table" w:customStyle="1" w:styleId="a5">
    <w:basedOn w:val="TableNormal"/>
    <w:pPr>
      <w:spacing w:after="0" w:line="240" w:lineRule="auto"/>
    </w:pPr>
    <w:tblPr>
      <w:tblStyleRowBandSize w:val="1"/>
      <w:tblStyleColBandSize w:val="1"/>
      <w:tblCellMar>
        <w:right w:w="115" w:type="dxa"/>
      </w:tblCellMar>
    </w:tblPr>
  </w:style>
  <w:style w:type="table" w:customStyle="1" w:styleId="a6">
    <w:basedOn w:val="TableNormal"/>
    <w:pPr>
      <w:spacing w:after="0" w:line="240" w:lineRule="auto"/>
    </w:pPr>
    <w:tblPr>
      <w:tblStyleRowBandSize w:val="1"/>
      <w:tblStyleColBandSize w:val="1"/>
      <w:tblCellMar>
        <w:top w:w="127" w:type="dxa"/>
        <w:left w:w="0" w:type="dxa"/>
        <w:right w:w="0" w:type="dxa"/>
      </w:tblCellMar>
    </w:tblPr>
  </w:style>
  <w:style w:type="table" w:customStyle="1" w:styleId="a7">
    <w:basedOn w:val="TableNormal"/>
    <w:pPr>
      <w:spacing w:after="0" w:line="240" w:lineRule="auto"/>
    </w:pPr>
    <w:tblPr>
      <w:tblStyleRowBandSize w:val="1"/>
      <w:tblStyleColBandSize w:val="1"/>
      <w:tblCellMar>
        <w:top w:w="126" w:type="dxa"/>
        <w:right w:w="51" w:type="dxa"/>
      </w:tblCellMar>
    </w:tblPr>
  </w:style>
  <w:style w:type="table" w:customStyle="1" w:styleId="a8">
    <w:basedOn w:val="TableNormal"/>
    <w:pPr>
      <w:spacing w:after="0" w:line="240" w:lineRule="auto"/>
    </w:pPr>
    <w:tblPr>
      <w:tblStyleRowBandSize w:val="1"/>
      <w:tblStyleColBandSize w:val="1"/>
      <w:tblCellMar>
        <w:top w:w="127" w:type="dxa"/>
        <w:left w:w="0" w:type="dxa"/>
        <w:right w:w="82"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right w:w="115" w:type="dxa"/>
      </w:tblCellMar>
    </w:tblPr>
  </w:style>
  <w:style w:type="table" w:customStyle="1" w:styleId="ab">
    <w:basedOn w:val="TableNormal"/>
    <w:pPr>
      <w:spacing w:after="0" w:line="240" w:lineRule="auto"/>
    </w:pPr>
    <w:tblPr>
      <w:tblStyleRowBandSize w:val="1"/>
      <w:tblStyleColBandSize w:val="1"/>
      <w:tblCellMar>
        <w:top w:w="127" w:type="dxa"/>
        <w:right w:w="77" w:type="dxa"/>
      </w:tblCellMar>
    </w:tblPr>
  </w:style>
  <w:style w:type="table" w:customStyle="1" w:styleId="ac">
    <w:basedOn w:val="TableNormal"/>
    <w:pPr>
      <w:spacing w:after="0" w:line="240" w:lineRule="auto"/>
    </w:pPr>
    <w:tblPr>
      <w:tblStyleRowBandSize w:val="1"/>
      <w:tblStyleColBandSize w:val="1"/>
      <w:tblCellMar>
        <w:top w:w="126" w:type="dxa"/>
        <w:right w:w="77" w:type="dxa"/>
      </w:tblCellMar>
    </w:tblPr>
  </w:style>
  <w:style w:type="table" w:customStyle="1" w:styleId="ad">
    <w:basedOn w:val="TableNormal"/>
    <w:pPr>
      <w:spacing w:after="0" w:line="240" w:lineRule="auto"/>
    </w:pPr>
    <w:tblPr>
      <w:tblStyleRowBandSize w:val="1"/>
      <w:tblStyleColBandSize w:val="1"/>
      <w:tblCellMar>
        <w:left w:w="0" w:type="dxa"/>
        <w:right w:w="58" w:type="dxa"/>
      </w:tblCellMar>
    </w:tblPr>
  </w:style>
  <w:style w:type="table" w:customStyle="1" w:styleId="ae">
    <w:basedOn w:val="TableNormal"/>
    <w:pPr>
      <w:spacing w:after="0" w:line="240" w:lineRule="auto"/>
    </w:pPr>
    <w:tblPr>
      <w:tblStyleRowBandSize w:val="1"/>
      <w:tblStyleColBandSize w:val="1"/>
      <w:tblCellMar>
        <w:right w:w="115" w:type="dxa"/>
      </w:tblCellMar>
    </w:tblPr>
  </w:style>
  <w:style w:type="table" w:customStyle="1" w:styleId="af">
    <w:basedOn w:val="TableNormal"/>
    <w:pPr>
      <w:spacing w:after="0" w:line="240" w:lineRule="auto"/>
    </w:pPr>
    <w:tblPr>
      <w:tblStyleRowBandSize w:val="1"/>
      <w:tblStyleColBandSize w:val="1"/>
      <w:tblCellMar>
        <w:top w:w="128" w:type="dxa"/>
        <w:left w:w="122" w:type="dxa"/>
        <w:right w:w="77" w:type="dxa"/>
      </w:tblCellMar>
    </w:tblPr>
  </w:style>
  <w:style w:type="table" w:customStyle="1" w:styleId="af0">
    <w:basedOn w:val="TableNormal"/>
    <w:pPr>
      <w:spacing w:after="0" w:line="240" w:lineRule="auto"/>
    </w:pPr>
    <w:tblPr>
      <w:tblStyleRowBandSize w:val="1"/>
      <w:tblStyleColBandSize w:val="1"/>
      <w:tblCellMar>
        <w:bottom w:w="13" w:type="dxa"/>
        <w:right w:w="48" w:type="dxa"/>
      </w:tblCellMar>
    </w:tblPr>
  </w:style>
  <w:style w:type="table" w:customStyle="1" w:styleId="af1">
    <w:basedOn w:val="TableNormal"/>
    <w:pPr>
      <w:spacing w:after="0" w:line="240" w:lineRule="auto"/>
    </w:pPr>
    <w:tblPr>
      <w:tblStyleRowBandSize w:val="1"/>
      <w:tblStyleColBandSize w:val="1"/>
      <w:tblCellMar>
        <w:top w:w="31" w:type="dxa"/>
        <w:left w:w="113" w:type="dxa"/>
        <w:right w:w="115" w:type="dxa"/>
      </w:tblCellMar>
    </w:tblPr>
  </w:style>
  <w:style w:type="table" w:customStyle="1" w:styleId="af2">
    <w:basedOn w:val="TableNormal"/>
    <w:pPr>
      <w:spacing w:after="0" w:line="240" w:lineRule="auto"/>
    </w:pPr>
    <w:tblPr>
      <w:tblStyleRowBandSize w:val="1"/>
      <w:tblStyleColBandSize w:val="1"/>
      <w:tblCellMar>
        <w:top w:w="31" w:type="dxa"/>
        <w:left w:w="113" w:type="dxa"/>
        <w:right w:w="115" w:type="dxa"/>
      </w:tblCellMar>
    </w:tblPr>
  </w:style>
  <w:style w:type="table" w:customStyle="1" w:styleId="af3">
    <w:basedOn w:val="TableNormal"/>
    <w:pPr>
      <w:spacing w:after="0" w:line="240" w:lineRule="auto"/>
    </w:pPr>
    <w:tblPr>
      <w:tblStyleRowBandSize w:val="1"/>
      <w:tblStyleColBandSize w:val="1"/>
      <w:tblCellMar>
        <w:top w:w="29" w:type="dxa"/>
        <w:left w:w="113" w:type="dxa"/>
        <w:right w:w="115" w:type="dxa"/>
      </w:tblCellMar>
    </w:tblPr>
  </w:style>
  <w:style w:type="table" w:customStyle="1" w:styleId="af4">
    <w:basedOn w:val="TableNormal"/>
    <w:pPr>
      <w:spacing w:after="0" w:line="240" w:lineRule="auto"/>
    </w:pPr>
    <w:tblPr>
      <w:tblStyleRowBandSize w:val="1"/>
      <w:tblStyleColBandSize w:val="1"/>
      <w:tblCellMar>
        <w:top w:w="29" w:type="dxa"/>
        <w:left w:w="113" w:type="dxa"/>
        <w:right w:w="115" w:type="dxa"/>
      </w:tblCellMar>
    </w:tblPr>
  </w:style>
  <w:style w:type="table" w:customStyle="1" w:styleId="af5">
    <w:basedOn w:val="TableNormal"/>
    <w:pPr>
      <w:spacing w:after="0" w:line="240" w:lineRule="auto"/>
    </w:pPr>
    <w:tblPr>
      <w:tblStyleRowBandSize w:val="1"/>
      <w:tblStyleColBandSize w:val="1"/>
      <w:tblCellMar>
        <w:top w:w="29" w:type="dxa"/>
        <w:left w:w="113" w:type="dxa"/>
        <w:right w:w="115" w:type="dxa"/>
      </w:tblCellMar>
    </w:tblPr>
  </w:style>
  <w:style w:type="table" w:customStyle="1" w:styleId="af6">
    <w:basedOn w:val="TableNormal"/>
    <w:pPr>
      <w:spacing w:after="0" w:line="240" w:lineRule="auto"/>
    </w:pPr>
    <w:tblPr>
      <w:tblStyleRowBandSize w:val="1"/>
      <w:tblStyleColBandSize w:val="1"/>
      <w:tblCellMar>
        <w:right w:w="115" w:type="dxa"/>
      </w:tblCellMar>
    </w:tblPr>
  </w:style>
  <w:style w:type="table" w:customStyle="1" w:styleId="af7">
    <w:basedOn w:val="TableNormal"/>
    <w:pPr>
      <w:spacing w:after="0" w:line="240" w:lineRule="auto"/>
    </w:pPr>
    <w:tblPr>
      <w:tblStyleRowBandSize w:val="1"/>
      <w:tblStyleColBandSize w:val="1"/>
      <w:tblCellMar>
        <w:top w:w="128" w:type="dxa"/>
        <w:right w:w="63" w:type="dxa"/>
      </w:tblCellMar>
    </w:tblPr>
  </w:style>
  <w:style w:type="table" w:customStyle="1" w:styleId="af8">
    <w:basedOn w:val="TableNormal"/>
    <w:pPr>
      <w:spacing w:after="0" w:line="240" w:lineRule="auto"/>
    </w:pPr>
    <w:tblPr>
      <w:tblStyleRowBandSize w:val="1"/>
      <w:tblStyleColBandSize w:val="1"/>
      <w:tblCellMar>
        <w:top w:w="127" w:type="dxa"/>
        <w:left w:w="106" w:type="dxa"/>
        <w:right w:w="14" w:type="dxa"/>
      </w:tblCellMar>
    </w:tblPr>
  </w:style>
  <w:style w:type="table" w:customStyle="1" w:styleId="af9">
    <w:basedOn w:val="TableNormal"/>
    <w:pPr>
      <w:spacing w:after="0" w:line="240" w:lineRule="auto"/>
    </w:pPr>
    <w:tblPr>
      <w:tblStyleRowBandSize w:val="1"/>
      <w:tblStyleColBandSize w:val="1"/>
      <w:tblCellMar>
        <w:top w:w="127" w:type="dxa"/>
        <w:left w:w="76" w:type="dxa"/>
        <w:right w:w="36"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CB"/>
    <w:rPr>
      <w:rFonts w:ascii="Segoe UI" w:hAnsi="Segoe UI" w:cs="Segoe UI"/>
      <w:sz w:val="18"/>
      <w:szCs w:val="18"/>
    </w:rPr>
  </w:style>
  <w:style w:type="paragraph" w:styleId="Header">
    <w:name w:val="header"/>
    <w:basedOn w:val="Normal"/>
    <w:link w:val="HeaderChar"/>
    <w:uiPriority w:val="99"/>
    <w:unhideWhenUsed/>
    <w:rsid w:val="00AD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B"/>
  </w:style>
  <w:style w:type="paragraph" w:styleId="ListParagraph">
    <w:name w:val="List Paragraph"/>
    <w:basedOn w:val="Normal"/>
    <w:uiPriority w:val="34"/>
    <w:qFormat/>
    <w:rsid w:val="0042331A"/>
    <w:pPr>
      <w:spacing w:before="120" w:after="12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11121</Words>
  <Characters>64502</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7</cp:revision>
  <cp:lastPrinted>2020-10-28T17:47:00Z</cp:lastPrinted>
  <dcterms:created xsi:type="dcterms:W3CDTF">2020-10-28T16:32:00Z</dcterms:created>
  <dcterms:modified xsi:type="dcterms:W3CDTF">2020-10-28T18:08:00Z</dcterms:modified>
</cp:coreProperties>
</file>