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5A8E4" w14:textId="77777777" w:rsidR="005F7451" w:rsidRDefault="006A46D0" w:rsidP="006A46D0">
      <w:pPr>
        <w:tabs>
          <w:tab w:val="center" w:pos="850"/>
          <w:tab w:val="right" w:pos="10998"/>
        </w:tabs>
        <w:spacing w:after="120" w:line="240" w:lineRule="auto"/>
        <w:rPr>
          <w:rFonts w:asciiTheme="majorHAnsi" w:eastAsia="Trebuchet MS" w:hAnsiTheme="majorHAnsi" w:cstheme="majorHAnsi"/>
          <w:sz w:val="20"/>
          <w:szCs w:val="20"/>
        </w:rPr>
      </w:pPr>
      <w:r w:rsidRPr="00D8663D">
        <w:rPr>
          <w:rFonts w:asciiTheme="majorHAnsi" w:eastAsia="Trebuchet MS" w:hAnsiTheme="majorHAnsi" w:cstheme="majorHAnsi"/>
          <w:sz w:val="20"/>
          <w:szCs w:val="20"/>
        </w:rPr>
        <w:tab/>
        <w:t xml:space="preserve"> </w:t>
      </w:r>
      <w:r w:rsidRPr="00D8663D">
        <w:rPr>
          <w:rFonts w:asciiTheme="majorHAnsi" w:eastAsia="Trebuchet MS" w:hAnsiTheme="majorHAnsi" w:cstheme="majorHAnsi"/>
          <w:sz w:val="20"/>
          <w:szCs w:val="20"/>
        </w:rPr>
        <w:tab/>
      </w:r>
      <w:bookmarkStart w:id="0" w:name="_bstb5u7p48ta" w:colFirst="0" w:colLast="0"/>
      <w:bookmarkEnd w:id="0"/>
    </w:p>
    <w:p w14:paraId="1D6E9D7E" w14:textId="4591A7BD" w:rsidR="00612B49" w:rsidRDefault="006A46D0" w:rsidP="005F7451">
      <w:pPr>
        <w:tabs>
          <w:tab w:val="center" w:pos="850"/>
          <w:tab w:val="right" w:pos="10998"/>
        </w:tabs>
        <w:spacing w:after="120" w:line="240" w:lineRule="auto"/>
        <w:jc w:val="right"/>
        <w:rPr>
          <w:rFonts w:asciiTheme="majorHAnsi" w:hAnsiTheme="majorHAnsi" w:cstheme="majorHAnsi"/>
          <w:bCs/>
          <w:color w:val="808080" w:themeColor="background1" w:themeShade="80"/>
          <w:sz w:val="20"/>
          <w:szCs w:val="20"/>
        </w:rPr>
      </w:pPr>
      <w:r w:rsidRPr="00D8663D">
        <w:rPr>
          <w:rFonts w:asciiTheme="majorHAnsi" w:hAnsiTheme="majorHAnsi" w:cstheme="majorHAnsi"/>
          <w:bCs/>
          <w:color w:val="808080" w:themeColor="background1" w:themeShade="80"/>
          <w:sz w:val="20"/>
          <w:szCs w:val="20"/>
          <w:u w:val="single"/>
        </w:rPr>
        <w:t>ANNEX VI</w:t>
      </w:r>
      <w:r w:rsidRPr="00D8663D">
        <w:rPr>
          <w:rFonts w:asciiTheme="majorHAnsi" w:hAnsiTheme="majorHAnsi" w:cstheme="majorHAnsi"/>
          <w:bCs/>
          <w:i/>
          <w:color w:val="808080" w:themeColor="background1" w:themeShade="80"/>
          <w:sz w:val="20"/>
          <w:szCs w:val="20"/>
          <w:u w:val="single"/>
          <w:vertAlign w:val="superscript"/>
        </w:rPr>
        <w:footnoteReference w:id="1"/>
      </w:r>
      <w:r w:rsidRPr="00D8663D">
        <w:rPr>
          <w:rFonts w:asciiTheme="majorHAnsi" w:hAnsiTheme="majorHAnsi" w:cstheme="majorHAnsi"/>
          <w:bCs/>
          <w:color w:val="808080" w:themeColor="background1" w:themeShade="80"/>
          <w:sz w:val="20"/>
          <w:szCs w:val="20"/>
          <w:u w:val="single"/>
        </w:rPr>
        <w:t xml:space="preserve"> </w:t>
      </w:r>
      <w:proofErr w:type="spellStart"/>
      <w:r w:rsidRPr="00D8663D">
        <w:rPr>
          <w:rFonts w:asciiTheme="majorHAnsi" w:hAnsiTheme="majorHAnsi" w:cstheme="majorHAnsi"/>
          <w:bCs/>
          <w:color w:val="808080" w:themeColor="background1" w:themeShade="80"/>
          <w:sz w:val="20"/>
          <w:szCs w:val="20"/>
        </w:rPr>
        <w:t>Template</w:t>
      </w:r>
      <w:proofErr w:type="spellEnd"/>
      <w:r w:rsidRPr="00D8663D">
        <w:rPr>
          <w:rFonts w:asciiTheme="majorHAnsi" w:hAnsiTheme="majorHAnsi" w:cstheme="majorHAnsi"/>
          <w:bCs/>
          <w:color w:val="808080" w:themeColor="background1" w:themeShade="80"/>
          <w:sz w:val="20"/>
          <w:szCs w:val="20"/>
        </w:rPr>
        <w:t xml:space="preserve"> of a </w:t>
      </w:r>
      <w:proofErr w:type="spellStart"/>
      <w:r w:rsidRPr="00D8663D">
        <w:rPr>
          <w:rFonts w:asciiTheme="majorHAnsi" w:hAnsiTheme="majorHAnsi" w:cstheme="majorHAnsi"/>
          <w:bCs/>
          <w:color w:val="808080" w:themeColor="background1" w:themeShade="80"/>
          <w:sz w:val="20"/>
          <w:szCs w:val="20"/>
        </w:rPr>
        <w:t>programme</w:t>
      </w:r>
      <w:proofErr w:type="spellEnd"/>
      <w:r w:rsidRPr="00D8663D">
        <w:rPr>
          <w:rFonts w:asciiTheme="majorHAnsi" w:hAnsiTheme="majorHAnsi" w:cstheme="majorHAnsi"/>
          <w:bCs/>
          <w:color w:val="808080" w:themeColor="background1" w:themeShade="80"/>
          <w:sz w:val="20"/>
          <w:szCs w:val="20"/>
        </w:rPr>
        <w:t xml:space="preserve"> for the AMIF, the ISF </w:t>
      </w:r>
      <w:proofErr w:type="spellStart"/>
      <w:r w:rsidRPr="00D8663D">
        <w:rPr>
          <w:rFonts w:asciiTheme="majorHAnsi" w:hAnsiTheme="majorHAnsi" w:cstheme="majorHAnsi"/>
          <w:bCs/>
          <w:color w:val="808080" w:themeColor="background1" w:themeShade="80"/>
          <w:sz w:val="20"/>
          <w:szCs w:val="20"/>
        </w:rPr>
        <w:t>and</w:t>
      </w:r>
      <w:proofErr w:type="spellEnd"/>
      <w:r w:rsidRPr="00D8663D">
        <w:rPr>
          <w:rFonts w:asciiTheme="majorHAnsi" w:hAnsiTheme="majorHAnsi" w:cstheme="majorHAnsi"/>
          <w:bCs/>
          <w:color w:val="808080" w:themeColor="background1" w:themeShade="80"/>
          <w:sz w:val="20"/>
          <w:szCs w:val="20"/>
        </w:rPr>
        <w:t xml:space="preserve"> the BMVI – </w:t>
      </w:r>
      <w:proofErr w:type="spellStart"/>
      <w:r w:rsidRPr="00D8663D">
        <w:rPr>
          <w:rFonts w:asciiTheme="majorHAnsi" w:hAnsiTheme="majorHAnsi" w:cstheme="majorHAnsi"/>
          <w:bCs/>
          <w:color w:val="808080" w:themeColor="background1" w:themeShade="80"/>
          <w:sz w:val="20"/>
          <w:szCs w:val="20"/>
        </w:rPr>
        <w:t>Article</w:t>
      </w:r>
      <w:proofErr w:type="spellEnd"/>
      <w:r w:rsidRPr="00D8663D">
        <w:rPr>
          <w:rFonts w:asciiTheme="majorHAnsi" w:hAnsiTheme="majorHAnsi" w:cstheme="majorHAnsi"/>
          <w:bCs/>
          <w:color w:val="808080" w:themeColor="background1" w:themeShade="80"/>
          <w:sz w:val="20"/>
          <w:szCs w:val="20"/>
        </w:rPr>
        <w:t xml:space="preserve"> 16(3)</w:t>
      </w:r>
    </w:p>
    <w:p w14:paraId="7FDCCD28" w14:textId="77777777" w:rsidR="005F7451" w:rsidRPr="00D8663D" w:rsidRDefault="005F7451" w:rsidP="005F7451">
      <w:pPr>
        <w:tabs>
          <w:tab w:val="center" w:pos="850"/>
          <w:tab w:val="right" w:pos="10998"/>
        </w:tabs>
        <w:spacing w:after="120" w:line="240" w:lineRule="auto"/>
        <w:jc w:val="right"/>
        <w:rPr>
          <w:rFonts w:asciiTheme="majorHAnsi" w:hAnsiTheme="majorHAnsi" w:cstheme="majorHAnsi"/>
          <w:bCs/>
          <w:color w:val="808080" w:themeColor="background1" w:themeShade="80"/>
          <w:sz w:val="20"/>
          <w:szCs w:val="20"/>
        </w:rPr>
      </w:pPr>
    </w:p>
    <w:p w14:paraId="643E500B" w14:textId="77777777" w:rsidR="005F7451" w:rsidRDefault="006A46D0" w:rsidP="00D8663D">
      <w:pPr>
        <w:spacing w:after="0" w:line="240" w:lineRule="auto"/>
        <w:rPr>
          <w:rFonts w:asciiTheme="majorHAnsi" w:eastAsia="Arial" w:hAnsiTheme="majorHAnsi" w:cstheme="majorHAnsi"/>
          <w:b/>
          <w:bCs/>
          <w:sz w:val="36"/>
          <w:szCs w:val="36"/>
        </w:rPr>
      </w:pPr>
      <w:r w:rsidRPr="006A46D0">
        <w:rPr>
          <w:rFonts w:asciiTheme="majorHAnsi" w:eastAsia="Arial" w:hAnsiTheme="majorHAnsi" w:cstheme="majorHAnsi"/>
          <w:b/>
          <w:bCs/>
          <w:sz w:val="36"/>
          <w:szCs w:val="36"/>
        </w:rPr>
        <w:t xml:space="preserve">PROGRAMUL NAȚIONAL </w:t>
      </w:r>
    </w:p>
    <w:p w14:paraId="123DEF42" w14:textId="4933D34F" w:rsidR="006A46D0" w:rsidRDefault="006A46D0" w:rsidP="00D8663D">
      <w:pPr>
        <w:spacing w:after="0" w:line="240" w:lineRule="auto"/>
        <w:rPr>
          <w:rFonts w:asciiTheme="majorHAnsi" w:eastAsia="Arial" w:hAnsiTheme="majorHAnsi" w:cstheme="majorHAnsi"/>
          <w:b/>
          <w:bCs/>
          <w:sz w:val="36"/>
          <w:szCs w:val="36"/>
        </w:rPr>
      </w:pPr>
      <w:r w:rsidRPr="006A46D0">
        <w:rPr>
          <w:rFonts w:asciiTheme="majorHAnsi" w:eastAsia="Arial" w:hAnsiTheme="majorHAnsi" w:cstheme="majorHAnsi"/>
          <w:b/>
          <w:bCs/>
          <w:sz w:val="36"/>
          <w:szCs w:val="36"/>
        </w:rPr>
        <w:t>INSTRUMENTUL PENTRU MANAGEMENTUL  FRONTIERELOR ȘI VIZE 2021-2027</w:t>
      </w:r>
    </w:p>
    <w:p w14:paraId="746299D6" w14:textId="77777777" w:rsidR="00D8663D" w:rsidRPr="006A46D0" w:rsidRDefault="00D8663D" w:rsidP="00D8663D">
      <w:pPr>
        <w:spacing w:after="0" w:line="240" w:lineRule="auto"/>
        <w:rPr>
          <w:rFonts w:asciiTheme="majorHAnsi" w:eastAsia="Trebuchet MS" w:hAnsiTheme="majorHAnsi" w:cstheme="majorHAnsi"/>
          <w:b/>
          <w:bCs/>
          <w:sz w:val="36"/>
          <w:szCs w:val="36"/>
        </w:rPr>
      </w:pPr>
    </w:p>
    <w:tbl>
      <w:tblPr>
        <w:tblStyle w:val="a"/>
        <w:tblW w:w="5000" w:type="pct"/>
        <w:jc w:val="center"/>
        <w:tblLayout w:type="fixed"/>
        <w:tblCellMar>
          <w:top w:w="0" w:type="dxa"/>
          <w:left w:w="0" w:type="dxa"/>
          <w:right w:w="0" w:type="dxa"/>
        </w:tblCellMar>
        <w:tblLook w:val="0400" w:firstRow="0" w:lastRow="0" w:firstColumn="0" w:lastColumn="0" w:noHBand="0" w:noVBand="1"/>
      </w:tblPr>
      <w:tblGrid>
        <w:gridCol w:w="3114"/>
        <w:gridCol w:w="6514"/>
      </w:tblGrid>
      <w:tr w:rsidR="00612B49" w:rsidRPr="006A46D0" w14:paraId="6A2AEB55" w14:textId="77777777" w:rsidTr="005F7451">
        <w:trPr>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379CABD0" w14:textId="77777777" w:rsidR="00612B49" w:rsidRPr="006A46D0" w:rsidRDefault="006A46D0" w:rsidP="005F7451">
            <w:pPr>
              <w:rPr>
                <w:rFonts w:asciiTheme="majorHAnsi" w:eastAsia="Trebuchet MS" w:hAnsiTheme="majorHAnsi" w:cstheme="majorHAnsi"/>
                <w:bCs/>
                <w:sz w:val="24"/>
                <w:szCs w:val="24"/>
              </w:rPr>
            </w:pPr>
            <w:r w:rsidRPr="006A46D0">
              <w:rPr>
                <w:rFonts w:asciiTheme="majorHAnsi" w:eastAsia="Trebuchet MS" w:hAnsiTheme="majorHAnsi" w:cstheme="majorHAnsi"/>
                <w:bCs/>
                <w:sz w:val="24"/>
                <w:szCs w:val="24"/>
              </w:rPr>
              <w:t xml:space="preserve">CCI </w:t>
            </w:r>
            <w:proofErr w:type="spellStart"/>
            <w:r w:rsidRPr="006A46D0">
              <w:rPr>
                <w:rFonts w:asciiTheme="majorHAnsi" w:eastAsia="Trebuchet MS" w:hAnsiTheme="majorHAnsi" w:cstheme="majorHAnsi"/>
                <w:bCs/>
                <w:sz w:val="24"/>
                <w:szCs w:val="24"/>
              </w:rPr>
              <w:t>number</w:t>
            </w:r>
            <w:proofErr w:type="spellEnd"/>
            <w:r w:rsidRPr="006A46D0">
              <w:rPr>
                <w:rFonts w:asciiTheme="majorHAnsi" w:eastAsia="Trebuchet MS" w:hAnsiTheme="majorHAnsi" w:cstheme="majorHAnsi"/>
                <w:bCs/>
                <w:sz w:val="24"/>
                <w:szCs w:val="24"/>
              </w:rPr>
              <w:t xml:space="preserve"> </w:t>
            </w:r>
          </w:p>
        </w:tc>
        <w:tc>
          <w:tcPr>
            <w:tcW w:w="6514" w:type="dxa"/>
            <w:tcBorders>
              <w:top w:val="single" w:sz="4" w:space="0" w:color="000000"/>
              <w:left w:val="single" w:sz="4" w:space="0" w:color="000000"/>
              <w:bottom w:val="single" w:sz="4" w:space="0" w:color="000000"/>
              <w:right w:val="single" w:sz="4" w:space="0" w:color="000000"/>
            </w:tcBorders>
            <w:vAlign w:val="center"/>
          </w:tcPr>
          <w:p w14:paraId="10781784" w14:textId="77777777" w:rsidR="00612B49" w:rsidRPr="006A46D0" w:rsidRDefault="006A46D0" w:rsidP="005F7451">
            <w:pPr>
              <w:rPr>
                <w:rFonts w:asciiTheme="majorHAnsi" w:eastAsia="Trebuchet MS" w:hAnsiTheme="majorHAnsi" w:cstheme="majorHAnsi"/>
                <w:sz w:val="24"/>
                <w:szCs w:val="24"/>
              </w:rPr>
            </w:pPr>
            <w:r w:rsidRPr="006A46D0">
              <w:rPr>
                <w:rFonts w:asciiTheme="majorHAnsi" w:eastAsia="Trebuchet MS" w:hAnsiTheme="majorHAnsi" w:cstheme="majorHAnsi"/>
                <w:sz w:val="24"/>
                <w:szCs w:val="24"/>
              </w:rPr>
              <w:t xml:space="preserve"> </w:t>
            </w:r>
          </w:p>
        </w:tc>
      </w:tr>
      <w:tr w:rsidR="00612B49" w:rsidRPr="006A46D0" w14:paraId="30B42BBD" w14:textId="77777777" w:rsidTr="005F7451">
        <w:trPr>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0B93078E" w14:textId="77777777" w:rsidR="00612B49" w:rsidRPr="006A46D0" w:rsidRDefault="006A46D0" w:rsidP="005F7451">
            <w:pPr>
              <w:rPr>
                <w:rFonts w:asciiTheme="majorHAnsi" w:eastAsia="Trebuchet MS" w:hAnsiTheme="majorHAnsi" w:cstheme="majorHAnsi"/>
                <w:bCs/>
                <w:sz w:val="24"/>
                <w:szCs w:val="24"/>
              </w:rPr>
            </w:pPr>
            <w:proofErr w:type="spellStart"/>
            <w:r w:rsidRPr="006A46D0">
              <w:rPr>
                <w:rFonts w:asciiTheme="majorHAnsi" w:eastAsia="Trebuchet MS" w:hAnsiTheme="majorHAnsi" w:cstheme="majorHAnsi"/>
                <w:bCs/>
                <w:sz w:val="24"/>
                <w:szCs w:val="24"/>
              </w:rPr>
              <w:t>Title</w:t>
            </w:r>
            <w:proofErr w:type="spellEnd"/>
            <w:r w:rsidRPr="006A46D0">
              <w:rPr>
                <w:rFonts w:asciiTheme="majorHAnsi" w:eastAsia="Trebuchet MS" w:hAnsiTheme="majorHAnsi" w:cstheme="majorHAnsi"/>
                <w:bCs/>
                <w:sz w:val="24"/>
                <w:szCs w:val="24"/>
              </w:rPr>
              <w:t xml:space="preserve"> in English </w:t>
            </w:r>
          </w:p>
        </w:tc>
        <w:tc>
          <w:tcPr>
            <w:tcW w:w="6514" w:type="dxa"/>
            <w:tcBorders>
              <w:top w:val="single" w:sz="4" w:space="0" w:color="000000"/>
              <w:left w:val="single" w:sz="4" w:space="0" w:color="000000"/>
              <w:bottom w:val="single" w:sz="4" w:space="0" w:color="000000"/>
              <w:right w:val="single" w:sz="4" w:space="0" w:color="000000"/>
            </w:tcBorders>
            <w:vAlign w:val="center"/>
          </w:tcPr>
          <w:p w14:paraId="229586BD" w14:textId="77777777" w:rsidR="00612B49" w:rsidRPr="006A46D0" w:rsidRDefault="006A46D0" w:rsidP="005F7451">
            <w:pPr>
              <w:rPr>
                <w:rFonts w:asciiTheme="majorHAnsi" w:eastAsia="Trebuchet MS" w:hAnsiTheme="majorHAnsi" w:cstheme="majorHAnsi"/>
                <w:sz w:val="24"/>
                <w:szCs w:val="24"/>
              </w:rPr>
            </w:pPr>
            <w:r w:rsidRPr="006A46D0">
              <w:rPr>
                <w:rFonts w:asciiTheme="majorHAnsi" w:eastAsia="Trebuchet MS" w:hAnsiTheme="majorHAnsi" w:cstheme="majorHAnsi"/>
                <w:sz w:val="24"/>
                <w:szCs w:val="24"/>
              </w:rPr>
              <w:t xml:space="preserve">[255 </w:t>
            </w:r>
            <w:proofErr w:type="spellStart"/>
            <w:r w:rsidRPr="006A46D0">
              <w:rPr>
                <w:rFonts w:asciiTheme="majorHAnsi" w:eastAsia="Trebuchet MS" w:hAnsiTheme="majorHAnsi" w:cstheme="majorHAnsi"/>
                <w:sz w:val="24"/>
                <w:szCs w:val="24"/>
              </w:rPr>
              <w:t>characters</w:t>
            </w:r>
            <w:proofErr w:type="spellEnd"/>
            <w:r w:rsidRPr="006A46D0">
              <w:rPr>
                <w:rFonts w:asciiTheme="majorHAnsi" w:eastAsia="Trebuchet MS" w:hAnsiTheme="majorHAnsi" w:cstheme="majorHAnsi"/>
                <w:sz w:val="24"/>
                <w:szCs w:val="24"/>
                <w:vertAlign w:val="superscript"/>
              </w:rPr>
              <w:footnoteReference w:id="2"/>
            </w:r>
            <w:r w:rsidRPr="006A46D0">
              <w:rPr>
                <w:rFonts w:asciiTheme="majorHAnsi" w:eastAsia="Trebuchet MS" w:hAnsiTheme="majorHAnsi" w:cstheme="majorHAnsi"/>
                <w:sz w:val="24"/>
                <w:szCs w:val="24"/>
              </w:rPr>
              <w:t xml:space="preserve">] </w:t>
            </w:r>
          </w:p>
          <w:p w14:paraId="179E5875" w14:textId="621334F1" w:rsidR="00612B49" w:rsidRPr="006A46D0" w:rsidRDefault="006A46D0" w:rsidP="005F7451">
            <w:pPr>
              <w:rPr>
                <w:rFonts w:asciiTheme="majorHAnsi" w:eastAsia="Trebuchet MS" w:hAnsiTheme="majorHAnsi" w:cstheme="majorHAnsi"/>
                <w:sz w:val="24"/>
                <w:szCs w:val="24"/>
              </w:rPr>
            </w:pPr>
            <w:r w:rsidRPr="006A46D0">
              <w:rPr>
                <w:rFonts w:asciiTheme="majorHAnsi" w:eastAsia="Trebuchet MS" w:hAnsiTheme="majorHAnsi" w:cstheme="majorHAnsi"/>
                <w:sz w:val="24"/>
                <w:szCs w:val="24"/>
              </w:rPr>
              <w:t>NATIONAL PROGRAMME</w:t>
            </w:r>
            <w:r>
              <w:rPr>
                <w:rFonts w:asciiTheme="majorHAnsi" w:eastAsia="Trebuchet MS" w:hAnsiTheme="majorHAnsi" w:cstheme="majorHAnsi"/>
                <w:sz w:val="24"/>
                <w:szCs w:val="24"/>
              </w:rPr>
              <w:t xml:space="preserve"> </w:t>
            </w:r>
            <w:r w:rsidRPr="006A46D0">
              <w:rPr>
                <w:rFonts w:asciiTheme="majorHAnsi" w:eastAsia="Trebuchet MS" w:hAnsiTheme="majorHAnsi" w:cstheme="majorHAnsi"/>
                <w:sz w:val="24"/>
                <w:szCs w:val="24"/>
              </w:rPr>
              <w:t>INSTRUMENT FOR BORDER MANAGEMENT AND VISA</w:t>
            </w:r>
          </w:p>
        </w:tc>
      </w:tr>
      <w:tr w:rsidR="00612B49" w:rsidRPr="006A46D0" w14:paraId="3E05A8AB" w14:textId="77777777" w:rsidTr="005F7451">
        <w:trPr>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0AFEC416" w14:textId="77777777" w:rsidR="00612B49" w:rsidRPr="006A46D0" w:rsidRDefault="006A46D0" w:rsidP="005F7451">
            <w:pPr>
              <w:rPr>
                <w:rFonts w:asciiTheme="majorHAnsi" w:eastAsia="Trebuchet MS" w:hAnsiTheme="majorHAnsi" w:cstheme="majorHAnsi"/>
                <w:bCs/>
                <w:sz w:val="24"/>
                <w:szCs w:val="24"/>
              </w:rPr>
            </w:pPr>
            <w:proofErr w:type="spellStart"/>
            <w:r w:rsidRPr="006A46D0">
              <w:rPr>
                <w:rFonts w:asciiTheme="majorHAnsi" w:eastAsia="Trebuchet MS" w:hAnsiTheme="majorHAnsi" w:cstheme="majorHAnsi"/>
                <w:bCs/>
                <w:sz w:val="24"/>
                <w:szCs w:val="24"/>
              </w:rPr>
              <w:t>Title</w:t>
            </w:r>
            <w:proofErr w:type="spellEnd"/>
            <w:r w:rsidRPr="006A46D0">
              <w:rPr>
                <w:rFonts w:asciiTheme="majorHAnsi" w:eastAsia="Trebuchet MS" w:hAnsiTheme="majorHAnsi" w:cstheme="majorHAnsi"/>
                <w:bCs/>
                <w:sz w:val="24"/>
                <w:szCs w:val="24"/>
              </w:rPr>
              <w:t xml:space="preserve"> in the </w:t>
            </w:r>
            <w:proofErr w:type="spellStart"/>
            <w:r w:rsidRPr="006A46D0">
              <w:rPr>
                <w:rFonts w:asciiTheme="majorHAnsi" w:eastAsia="Trebuchet MS" w:hAnsiTheme="majorHAnsi" w:cstheme="majorHAnsi"/>
                <w:bCs/>
                <w:sz w:val="24"/>
                <w:szCs w:val="24"/>
              </w:rPr>
              <w:t>national</w:t>
            </w:r>
            <w:proofErr w:type="spellEnd"/>
            <w:r w:rsidRPr="006A46D0">
              <w:rPr>
                <w:rFonts w:asciiTheme="majorHAnsi" w:eastAsia="Trebuchet MS" w:hAnsiTheme="majorHAnsi" w:cstheme="majorHAnsi"/>
                <w:bCs/>
                <w:sz w:val="24"/>
                <w:szCs w:val="24"/>
              </w:rPr>
              <w:t xml:space="preserve"> </w:t>
            </w:r>
            <w:proofErr w:type="spellStart"/>
            <w:r w:rsidRPr="006A46D0">
              <w:rPr>
                <w:rFonts w:asciiTheme="majorHAnsi" w:eastAsia="Trebuchet MS" w:hAnsiTheme="majorHAnsi" w:cstheme="majorHAnsi"/>
                <w:bCs/>
                <w:sz w:val="24"/>
                <w:szCs w:val="24"/>
              </w:rPr>
              <w:t>language</w:t>
            </w:r>
            <w:proofErr w:type="spellEnd"/>
            <w:r w:rsidRPr="006A46D0">
              <w:rPr>
                <w:rFonts w:asciiTheme="majorHAnsi" w:eastAsia="Trebuchet MS" w:hAnsiTheme="majorHAnsi" w:cstheme="majorHAnsi"/>
                <w:bCs/>
                <w:sz w:val="24"/>
                <w:szCs w:val="24"/>
              </w:rPr>
              <w:t xml:space="preserve"> </w:t>
            </w:r>
          </w:p>
        </w:tc>
        <w:tc>
          <w:tcPr>
            <w:tcW w:w="6514" w:type="dxa"/>
            <w:tcBorders>
              <w:top w:val="single" w:sz="4" w:space="0" w:color="000000"/>
              <w:left w:val="single" w:sz="4" w:space="0" w:color="000000"/>
              <w:bottom w:val="single" w:sz="4" w:space="0" w:color="000000"/>
              <w:right w:val="single" w:sz="4" w:space="0" w:color="000000"/>
            </w:tcBorders>
            <w:vAlign w:val="center"/>
          </w:tcPr>
          <w:p w14:paraId="10203108" w14:textId="16AF4A19" w:rsidR="00612B49" w:rsidRPr="006A46D0" w:rsidRDefault="006A46D0" w:rsidP="005F7451">
            <w:pPr>
              <w:rPr>
                <w:rFonts w:asciiTheme="majorHAnsi" w:eastAsia="Trebuchet MS" w:hAnsiTheme="majorHAnsi" w:cstheme="majorHAnsi"/>
                <w:sz w:val="24"/>
                <w:szCs w:val="24"/>
              </w:rPr>
            </w:pPr>
            <w:r w:rsidRPr="006A46D0">
              <w:rPr>
                <w:rFonts w:asciiTheme="majorHAnsi" w:eastAsia="Trebuchet MS" w:hAnsiTheme="majorHAnsi" w:cstheme="majorHAnsi"/>
                <w:sz w:val="24"/>
                <w:szCs w:val="24"/>
              </w:rPr>
              <w:t xml:space="preserve">[255] </w:t>
            </w:r>
            <w:r w:rsidRPr="006A46D0">
              <w:rPr>
                <w:rFonts w:asciiTheme="majorHAnsi" w:eastAsia="Arial" w:hAnsiTheme="majorHAnsi" w:cstheme="majorHAnsi"/>
                <w:sz w:val="24"/>
                <w:szCs w:val="24"/>
              </w:rPr>
              <w:t>PROGRAMUL NAȚIONAL</w:t>
            </w:r>
            <w:r>
              <w:rPr>
                <w:rFonts w:asciiTheme="majorHAnsi" w:eastAsia="Arial" w:hAnsiTheme="majorHAnsi" w:cstheme="majorHAnsi"/>
                <w:sz w:val="24"/>
                <w:szCs w:val="24"/>
              </w:rPr>
              <w:t xml:space="preserve"> </w:t>
            </w:r>
            <w:r w:rsidRPr="006A46D0">
              <w:rPr>
                <w:rFonts w:asciiTheme="majorHAnsi" w:eastAsia="Arial" w:hAnsiTheme="majorHAnsi" w:cstheme="majorHAnsi"/>
                <w:sz w:val="24"/>
                <w:szCs w:val="24"/>
              </w:rPr>
              <w:t xml:space="preserve">INSTRUMENTUL PENTRU MANAGEMENTUL  </w:t>
            </w:r>
            <w:r>
              <w:rPr>
                <w:rFonts w:asciiTheme="majorHAnsi" w:eastAsia="Arial" w:hAnsiTheme="majorHAnsi" w:cstheme="majorHAnsi"/>
                <w:sz w:val="24"/>
                <w:szCs w:val="24"/>
              </w:rPr>
              <w:t>F</w:t>
            </w:r>
            <w:r w:rsidRPr="006A46D0">
              <w:rPr>
                <w:rFonts w:asciiTheme="majorHAnsi" w:eastAsia="Arial" w:hAnsiTheme="majorHAnsi" w:cstheme="majorHAnsi"/>
                <w:sz w:val="24"/>
                <w:szCs w:val="24"/>
              </w:rPr>
              <w:t>RONTIERELOR ȘI VIZE</w:t>
            </w:r>
          </w:p>
        </w:tc>
      </w:tr>
      <w:tr w:rsidR="006A46D0" w:rsidRPr="006A46D0" w14:paraId="1A937FAC" w14:textId="77777777" w:rsidTr="005F7451">
        <w:trPr>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7A247AC4" w14:textId="77777777" w:rsidR="006A46D0" w:rsidRPr="006A46D0" w:rsidRDefault="006A46D0" w:rsidP="005F7451">
            <w:pPr>
              <w:rPr>
                <w:rFonts w:asciiTheme="majorHAnsi" w:eastAsia="Trebuchet MS" w:hAnsiTheme="majorHAnsi" w:cstheme="majorHAnsi"/>
                <w:bCs/>
                <w:sz w:val="24"/>
                <w:szCs w:val="24"/>
              </w:rPr>
            </w:pPr>
            <w:proofErr w:type="spellStart"/>
            <w:r w:rsidRPr="006A46D0">
              <w:rPr>
                <w:rFonts w:asciiTheme="majorHAnsi" w:eastAsia="Trebuchet MS" w:hAnsiTheme="majorHAnsi" w:cstheme="majorHAnsi"/>
                <w:bCs/>
                <w:sz w:val="24"/>
                <w:szCs w:val="24"/>
              </w:rPr>
              <w:t>Version</w:t>
            </w:r>
            <w:proofErr w:type="spellEnd"/>
            <w:r w:rsidRPr="006A46D0">
              <w:rPr>
                <w:rFonts w:asciiTheme="majorHAnsi" w:eastAsia="Trebuchet MS" w:hAnsiTheme="majorHAnsi" w:cstheme="majorHAnsi"/>
                <w:bCs/>
                <w:sz w:val="24"/>
                <w:szCs w:val="24"/>
              </w:rPr>
              <w:t xml:space="preserve"> </w:t>
            </w:r>
          </w:p>
        </w:tc>
        <w:tc>
          <w:tcPr>
            <w:tcW w:w="6514" w:type="dxa"/>
            <w:tcBorders>
              <w:top w:val="single" w:sz="4" w:space="0" w:color="000000"/>
              <w:left w:val="single" w:sz="4" w:space="0" w:color="000000"/>
              <w:bottom w:val="single" w:sz="4" w:space="0" w:color="000000"/>
              <w:right w:val="single" w:sz="4" w:space="0" w:color="000000"/>
            </w:tcBorders>
            <w:vAlign w:val="center"/>
          </w:tcPr>
          <w:p w14:paraId="64869874" w14:textId="375EE6EE" w:rsidR="006A46D0" w:rsidRPr="006A46D0" w:rsidRDefault="006A46D0" w:rsidP="005F7451">
            <w:pPr>
              <w:rPr>
                <w:rFonts w:asciiTheme="majorHAnsi" w:eastAsia="Trebuchet MS" w:hAnsiTheme="majorHAnsi" w:cstheme="majorHAnsi"/>
                <w:sz w:val="24"/>
                <w:szCs w:val="24"/>
              </w:rPr>
            </w:pPr>
            <w:r w:rsidRPr="00AD2CCB">
              <w:rPr>
                <w:rFonts w:asciiTheme="majorHAnsi" w:eastAsia="Trebuchet MS" w:hAnsiTheme="majorHAnsi" w:cstheme="majorHAnsi"/>
                <w:sz w:val="24"/>
                <w:szCs w:val="24"/>
              </w:rPr>
              <w:t xml:space="preserve"> DRAFT 1</w:t>
            </w:r>
          </w:p>
        </w:tc>
      </w:tr>
      <w:tr w:rsidR="006A46D0" w:rsidRPr="006A46D0" w14:paraId="6C0C7722" w14:textId="77777777" w:rsidTr="005F7451">
        <w:trPr>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2795A1AF" w14:textId="77777777" w:rsidR="006A46D0" w:rsidRPr="006A46D0" w:rsidRDefault="006A46D0" w:rsidP="005F7451">
            <w:pPr>
              <w:rPr>
                <w:rFonts w:asciiTheme="majorHAnsi" w:eastAsia="Trebuchet MS" w:hAnsiTheme="majorHAnsi" w:cstheme="majorHAnsi"/>
                <w:bCs/>
                <w:sz w:val="24"/>
                <w:szCs w:val="24"/>
              </w:rPr>
            </w:pPr>
            <w:proofErr w:type="spellStart"/>
            <w:r w:rsidRPr="006A46D0">
              <w:rPr>
                <w:rFonts w:asciiTheme="majorHAnsi" w:eastAsia="Trebuchet MS" w:hAnsiTheme="majorHAnsi" w:cstheme="majorHAnsi"/>
                <w:bCs/>
                <w:sz w:val="24"/>
                <w:szCs w:val="24"/>
              </w:rPr>
              <w:t>First</w:t>
            </w:r>
            <w:proofErr w:type="spellEnd"/>
            <w:r w:rsidRPr="006A46D0">
              <w:rPr>
                <w:rFonts w:asciiTheme="majorHAnsi" w:eastAsia="Trebuchet MS" w:hAnsiTheme="majorHAnsi" w:cstheme="majorHAnsi"/>
                <w:bCs/>
                <w:sz w:val="24"/>
                <w:szCs w:val="24"/>
              </w:rPr>
              <w:t xml:space="preserve"> </w:t>
            </w:r>
            <w:proofErr w:type="spellStart"/>
            <w:r w:rsidRPr="006A46D0">
              <w:rPr>
                <w:rFonts w:asciiTheme="majorHAnsi" w:eastAsia="Trebuchet MS" w:hAnsiTheme="majorHAnsi" w:cstheme="majorHAnsi"/>
                <w:bCs/>
                <w:sz w:val="24"/>
                <w:szCs w:val="24"/>
              </w:rPr>
              <w:t>Year</w:t>
            </w:r>
            <w:proofErr w:type="spellEnd"/>
            <w:r w:rsidRPr="006A46D0">
              <w:rPr>
                <w:rFonts w:asciiTheme="majorHAnsi" w:eastAsia="Trebuchet MS" w:hAnsiTheme="majorHAnsi" w:cstheme="majorHAnsi"/>
                <w:bCs/>
                <w:sz w:val="24"/>
                <w:szCs w:val="24"/>
              </w:rPr>
              <w:t xml:space="preserve">  </w:t>
            </w:r>
          </w:p>
        </w:tc>
        <w:tc>
          <w:tcPr>
            <w:tcW w:w="6514" w:type="dxa"/>
            <w:tcBorders>
              <w:top w:val="single" w:sz="4" w:space="0" w:color="000000"/>
              <w:left w:val="single" w:sz="4" w:space="0" w:color="000000"/>
              <w:bottom w:val="single" w:sz="4" w:space="0" w:color="000000"/>
              <w:right w:val="single" w:sz="4" w:space="0" w:color="000000"/>
            </w:tcBorders>
            <w:vAlign w:val="center"/>
          </w:tcPr>
          <w:p w14:paraId="326872E5" w14:textId="4F708A5F" w:rsidR="006A46D0" w:rsidRPr="006A46D0" w:rsidRDefault="006A46D0" w:rsidP="005F7451">
            <w:pPr>
              <w:rPr>
                <w:rFonts w:asciiTheme="majorHAnsi" w:eastAsia="Trebuchet MS" w:hAnsiTheme="majorHAnsi" w:cstheme="majorHAnsi"/>
                <w:sz w:val="24"/>
                <w:szCs w:val="24"/>
              </w:rPr>
            </w:pPr>
            <w:r w:rsidRPr="00AD2CCB">
              <w:rPr>
                <w:rFonts w:asciiTheme="majorHAnsi" w:eastAsia="Trebuchet MS" w:hAnsiTheme="majorHAnsi" w:cstheme="majorHAnsi"/>
                <w:sz w:val="24"/>
                <w:szCs w:val="24"/>
              </w:rPr>
              <w:t>2021</w:t>
            </w:r>
          </w:p>
        </w:tc>
      </w:tr>
      <w:tr w:rsidR="006A46D0" w:rsidRPr="006A46D0" w14:paraId="588443B9" w14:textId="77777777" w:rsidTr="005F7451">
        <w:trPr>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3543392E" w14:textId="77777777" w:rsidR="006A46D0" w:rsidRPr="006A46D0" w:rsidRDefault="006A46D0" w:rsidP="005F7451">
            <w:pPr>
              <w:rPr>
                <w:rFonts w:asciiTheme="majorHAnsi" w:eastAsia="Trebuchet MS" w:hAnsiTheme="majorHAnsi" w:cstheme="majorHAnsi"/>
                <w:bCs/>
                <w:sz w:val="24"/>
                <w:szCs w:val="24"/>
              </w:rPr>
            </w:pPr>
            <w:proofErr w:type="spellStart"/>
            <w:r w:rsidRPr="006A46D0">
              <w:rPr>
                <w:rFonts w:asciiTheme="majorHAnsi" w:eastAsia="Trebuchet MS" w:hAnsiTheme="majorHAnsi" w:cstheme="majorHAnsi"/>
                <w:bCs/>
                <w:sz w:val="24"/>
                <w:szCs w:val="24"/>
              </w:rPr>
              <w:t>Last</w:t>
            </w:r>
            <w:proofErr w:type="spellEnd"/>
            <w:r w:rsidRPr="006A46D0">
              <w:rPr>
                <w:rFonts w:asciiTheme="majorHAnsi" w:eastAsia="Trebuchet MS" w:hAnsiTheme="majorHAnsi" w:cstheme="majorHAnsi"/>
                <w:bCs/>
                <w:sz w:val="24"/>
                <w:szCs w:val="24"/>
              </w:rPr>
              <w:t xml:space="preserve"> </w:t>
            </w:r>
            <w:proofErr w:type="spellStart"/>
            <w:r w:rsidRPr="006A46D0">
              <w:rPr>
                <w:rFonts w:asciiTheme="majorHAnsi" w:eastAsia="Trebuchet MS" w:hAnsiTheme="majorHAnsi" w:cstheme="majorHAnsi"/>
                <w:bCs/>
                <w:sz w:val="24"/>
                <w:szCs w:val="24"/>
              </w:rPr>
              <w:t>Year</w:t>
            </w:r>
            <w:proofErr w:type="spellEnd"/>
            <w:r w:rsidRPr="006A46D0">
              <w:rPr>
                <w:rFonts w:asciiTheme="majorHAnsi" w:eastAsia="Trebuchet MS" w:hAnsiTheme="majorHAnsi" w:cstheme="majorHAnsi"/>
                <w:bCs/>
                <w:sz w:val="24"/>
                <w:szCs w:val="24"/>
              </w:rPr>
              <w:t xml:space="preserve">  </w:t>
            </w:r>
          </w:p>
        </w:tc>
        <w:tc>
          <w:tcPr>
            <w:tcW w:w="6514" w:type="dxa"/>
            <w:tcBorders>
              <w:top w:val="single" w:sz="4" w:space="0" w:color="000000"/>
              <w:left w:val="single" w:sz="4" w:space="0" w:color="000000"/>
              <w:bottom w:val="single" w:sz="4" w:space="0" w:color="000000"/>
              <w:right w:val="single" w:sz="4" w:space="0" w:color="000000"/>
            </w:tcBorders>
            <w:vAlign w:val="center"/>
          </w:tcPr>
          <w:p w14:paraId="6EF56DDA" w14:textId="674DC584" w:rsidR="006A46D0" w:rsidRPr="006A46D0" w:rsidRDefault="006A46D0" w:rsidP="005F7451">
            <w:pPr>
              <w:rPr>
                <w:rFonts w:asciiTheme="majorHAnsi" w:eastAsia="Trebuchet MS" w:hAnsiTheme="majorHAnsi" w:cstheme="majorHAnsi"/>
                <w:sz w:val="24"/>
                <w:szCs w:val="24"/>
              </w:rPr>
            </w:pPr>
            <w:r w:rsidRPr="00AD2CCB">
              <w:rPr>
                <w:rFonts w:asciiTheme="majorHAnsi" w:eastAsia="Trebuchet MS" w:hAnsiTheme="majorHAnsi" w:cstheme="majorHAnsi"/>
                <w:sz w:val="24"/>
                <w:szCs w:val="24"/>
              </w:rPr>
              <w:t>2027</w:t>
            </w:r>
          </w:p>
        </w:tc>
      </w:tr>
      <w:tr w:rsidR="006A46D0" w:rsidRPr="006A46D0" w14:paraId="4D22438C" w14:textId="77777777" w:rsidTr="005F7451">
        <w:trPr>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6526F00A" w14:textId="77777777" w:rsidR="006A46D0" w:rsidRPr="006A46D0" w:rsidRDefault="006A46D0" w:rsidP="005F7451">
            <w:pPr>
              <w:rPr>
                <w:rFonts w:asciiTheme="majorHAnsi" w:eastAsia="Trebuchet MS" w:hAnsiTheme="majorHAnsi" w:cstheme="majorHAnsi"/>
                <w:bCs/>
                <w:sz w:val="24"/>
                <w:szCs w:val="24"/>
              </w:rPr>
            </w:pPr>
            <w:proofErr w:type="spellStart"/>
            <w:r w:rsidRPr="006A46D0">
              <w:rPr>
                <w:rFonts w:asciiTheme="majorHAnsi" w:eastAsia="Trebuchet MS" w:hAnsiTheme="majorHAnsi" w:cstheme="majorHAnsi"/>
                <w:bCs/>
                <w:sz w:val="24"/>
                <w:szCs w:val="24"/>
              </w:rPr>
              <w:t>Eligible</w:t>
            </w:r>
            <w:proofErr w:type="spellEnd"/>
            <w:r w:rsidRPr="006A46D0">
              <w:rPr>
                <w:rFonts w:asciiTheme="majorHAnsi" w:eastAsia="Trebuchet MS" w:hAnsiTheme="majorHAnsi" w:cstheme="majorHAnsi"/>
                <w:bCs/>
                <w:sz w:val="24"/>
                <w:szCs w:val="24"/>
              </w:rPr>
              <w:t xml:space="preserve"> </w:t>
            </w:r>
            <w:proofErr w:type="spellStart"/>
            <w:r w:rsidRPr="006A46D0">
              <w:rPr>
                <w:rFonts w:asciiTheme="majorHAnsi" w:eastAsia="Trebuchet MS" w:hAnsiTheme="majorHAnsi" w:cstheme="majorHAnsi"/>
                <w:bCs/>
                <w:sz w:val="24"/>
                <w:szCs w:val="24"/>
              </w:rPr>
              <w:t>from</w:t>
            </w:r>
            <w:proofErr w:type="spellEnd"/>
            <w:r w:rsidRPr="006A46D0">
              <w:rPr>
                <w:rFonts w:asciiTheme="majorHAnsi" w:eastAsia="Trebuchet MS" w:hAnsiTheme="majorHAnsi" w:cstheme="majorHAnsi"/>
                <w:bCs/>
                <w:sz w:val="24"/>
                <w:szCs w:val="24"/>
              </w:rPr>
              <w:t xml:space="preserve"> </w:t>
            </w:r>
          </w:p>
        </w:tc>
        <w:tc>
          <w:tcPr>
            <w:tcW w:w="6514" w:type="dxa"/>
            <w:tcBorders>
              <w:top w:val="single" w:sz="4" w:space="0" w:color="000000"/>
              <w:left w:val="single" w:sz="4" w:space="0" w:color="000000"/>
              <w:bottom w:val="single" w:sz="4" w:space="0" w:color="000000"/>
              <w:right w:val="single" w:sz="4" w:space="0" w:color="000000"/>
            </w:tcBorders>
            <w:vAlign w:val="center"/>
          </w:tcPr>
          <w:p w14:paraId="21D395B0" w14:textId="537738DC" w:rsidR="006A46D0" w:rsidRPr="006A46D0" w:rsidRDefault="006A46D0" w:rsidP="005F7451">
            <w:pPr>
              <w:rPr>
                <w:rFonts w:asciiTheme="majorHAnsi" w:eastAsia="Trebuchet MS" w:hAnsiTheme="majorHAnsi" w:cstheme="majorHAnsi"/>
                <w:sz w:val="24"/>
                <w:szCs w:val="24"/>
              </w:rPr>
            </w:pPr>
            <w:r w:rsidRPr="004C0798">
              <w:rPr>
                <w:rFonts w:asciiTheme="majorHAnsi" w:hAnsiTheme="majorHAnsi" w:cstheme="majorHAnsi"/>
              </w:rPr>
              <w:t>1 IANUARIE 2021</w:t>
            </w:r>
          </w:p>
        </w:tc>
      </w:tr>
      <w:tr w:rsidR="006A46D0" w:rsidRPr="006A46D0" w14:paraId="56605AA1" w14:textId="77777777" w:rsidTr="005F7451">
        <w:trPr>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36863E0F" w14:textId="77777777" w:rsidR="006A46D0" w:rsidRPr="006A46D0" w:rsidRDefault="006A46D0" w:rsidP="005F7451">
            <w:pPr>
              <w:rPr>
                <w:rFonts w:asciiTheme="majorHAnsi" w:eastAsia="Trebuchet MS" w:hAnsiTheme="majorHAnsi" w:cstheme="majorHAnsi"/>
                <w:bCs/>
                <w:sz w:val="24"/>
                <w:szCs w:val="24"/>
              </w:rPr>
            </w:pPr>
            <w:proofErr w:type="spellStart"/>
            <w:r w:rsidRPr="006A46D0">
              <w:rPr>
                <w:rFonts w:asciiTheme="majorHAnsi" w:eastAsia="Trebuchet MS" w:hAnsiTheme="majorHAnsi" w:cstheme="majorHAnsi"/>
                <w:bCs/>
                <w:sz w:val="24"/>
                <w:szCs w:val="24"/>
              </w:rPr>
              <w:t>Eligible</w:t>
            </w:r>
            <w:proofErr w:type="spellEnd"/>
            <w:r w:rsidRPr="006A46D0">
              <w:rPr>
                <w:rFonts w:asciiTheme="majorHAnsi" w:eastAsia="Trebuchet MS" w:hAnsiTheme="majorHAnsi" w:cstheme="majorHAnsi"/>
                <w:bCs/>
                <w:sz w:val="24"/>
                <w:szCs w:val="24"/>
              </w:rPr>
              <w:t xml:space="preserve"> </w:t>
            </w:r>
            <w:proofErr w:type="spellStart"/>
            <w:r w:rsidRPr="006A46D0">
              <w:rPr>
                <w:rFonts w:asciiTheme="majorHAnsi" w:eastAsia="Trebuchet MS" w:hAnsiTheme="majorHAnsi" w:cstheme="majorHAnsi"/>
                <w:bCs/>
                <w:sz w:val="24"/>
                <w:szCs w:val="24"/>
              </w:rPr>
              <w:t>until</w:t>
            </w:r>
            <w:proofErr w:type="spellEnd"/>
            <w:r w:rsidRPr="006A46D0">
              <w:rPr>
                <w:rFonts w:asciiTheme="majorHAnsi" w:eastAsia="Trebuchet MS" w:hAnsiTheme="majorHAnsi" w:cstheme="majorHAnsi"/>
                <w:bCs/>
                <w:sz w:val="24"/>
                <w:szCs w:val="24"/>
              </w:rPr>
              <w:t xml:space="preserve"> </w:t>
            </w:r>
          </w:p>
        </w:tc>
        <w:tc>
          <w:tcPr>
            <w:tcW w:w="6514" w:type="dxa"/>
            <w:tcBorders>
              <w:top w:val="single" w:sz="4" w:space="0" w:color="000000"/>
              <w:left w:val="single" w:sz="4" w:space="0" w:color="000000"/>
              <w:bottom w:val="single" w:sz="4" w:space="0" w:color="000000"/>
              <w:right w:val="single" w:sz="4" w:space="0" w:color="000000"/>
            </w:tcBorders>
            <w:vAlign w:val="center"/>
          </w:tcPr>
          <w:p w14:paraId="57078403" w14:textId="1E999A90" w:rsidR="006A46D0" w:rsidRPr="006A46D0" w:rsidRDefault="006A46D0" w:rsidP="005F7451">
            <w:pPr>
              <w:rPr>
                <w:rFonts w:asciiTheme="majorHAnsi" w:eastAsia="Trebuchet MS" w:hAnsiTheme="majorHAnsi" w:cstheme="majorHAnsi"/>
                <w:sz w:val="24"/>
                <w:szCs w:val="24"/>
              </w:rPr>
            </w:pPr>
            <w:r w:rsidRPr="004C0798">
              <w:rPr>
                <w:rFonts w:asciiTheme="majorHAnsi" w:hAnsiTheme="majorHAnsi" w:cstheme="majorHAnsi"/>
              </w:rPr>
              <w:t>31 DECEMBRIE 2029</w:t>
            </w:r>
          </w:p>
        </w:tc>
      </w:tr>
      <w:tr w:rsidR="00612B49" w:rsidRPr="006A46D0" w14:paraId="5031E5CC" w14:textId="77777777" w:rsidTr="005F7451">
        <w:trPr>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4981AFC6" w14:textId="77777777" w:rsidR="00612B49" w:rsidRPr="006A46D0" w:rsidRDefault="006A46D0" w:rsidP="005F7451">
            <w:pPr>
              <w:rPr>
                <w:rFonts w:asciiTheme="majorHAnsi" w:eastAsia="Trebuchet MS" w:hAnsiTheme="majorHAnsi" w:cstheme="majorHAnsi"/>
                <w:bCs/>
                <w:sz w:val="24"/>
                <w:szCs w:val="24"/>
              </w:rPr>
            </w:pPr>
            <w:proofErr w:type="spellStart"/>
            <w:r w:rsidRPr="006A46D0">
              <w:rPr>
                <w:rFonts w:asciiTheme="majorHAnsi" w:eastAsia="Trebuchet MS" w:hAnsiTheme="majorHAnsi" w:cstheme="majorHAnsi"/>
                <w:bCs/>
                <w:sz w:val="24"/>
                <w:szCs w:val="24"/>
              </w:rPr>
              <w:t>Commission</w:t>
            </w:r>
            <w:proofErr w:type="spellEnd"/>
            <w:r w:rsidRPr="006A46D0">
              <w:rPr>
                <w:rFonts w:asciiTheme="majorHAnsi" w:eastAsia="Trebuchet MS" w:hAnsiTheme="majorHAnsi" w:cstheme="majorHAnsi"/>
                <w:bCs/>
                <w:sz w:val="24"/>
                <w:szCs w:val="24"/>
              </w:rPr>
              <w:t xml:space="preserve"> </w:t>
            </w:r>
            <w:proofErr w:type="spellStart"/>
            <w:r w:rsidRPr="006A46D0">
              <w:rPr>
                <w:rFonts w:asciiTheme="majorHAnsi" w:eastAsia="Trebuchet MS" w:hAnsiTheme="majorHAnsi" w:cstheme="majorHAnsi"/>
                <w:bCs/>
                <w:sz w:val="24"/>
                <w:szCs w:val="24"/>
              </w:rPr>
              <w:t>Decision</w:t>
            </w:r>
            <w:proofErr w:type="spellEnd"/>
            <w:r w:rsidRPr="006A46D0">
              <w:rPr>
                <w:rFonts w:asciiTheme="majorHAnsi" w:eastAsia="Trebuchet MS" w:hAnsiTheme="majorHAnsi" w:cstheme="majorHAnsi"/>
                <w:bCs/>
                <w:sz w:val="24"/>
                <w:szCs w:val="24"/>
              </w:rPr>
              <w:t xml:space="preserve"> </w:t>
            </w:r>
            <w:proofErr w:type="spellStart"/>
            <w:r w:rsidRPr="006A46D0">
              <w:rPr>
                <w:rFonts w:asciiTheme="majorHAnsi" w:eastAsia="Trebuchet MS" w:hAnsiTheme="majorHAnsi" w:cstheme="majorHAnsi"/>
                <w:bCs/>
                <w:sz w:val="24"/>
                <w:szCs w:val="24"/>
              </w:rPr>
              <w:t>Number</w:t>
            </w:r>
            <w:proofErr w:type="spellEnd"/>
            <w:r w:rsidRPr="006A46D0">
              <w:rPr>
                <w:rFonts w:asciiTheme="majorHAnsi" w:eastAsia="Trebuchet MS" w:hAnsiTheme="majorHAnsi" w:cstheme="majorHAnsi"/>
                <w:bCs/>
                <w:sz w:val="24"/>
                <w:szCs w:val="24"/>
              </w:rPr>
              <w:t xml:space="preserve">  </w:t>
            </w:r>
          </w:p>
        </w:tc>
        <w:tc>
          <w:tcPr>
            <w:tcW w:w="6514" w:type="dxa"/>
            <w:tcBorders>
              <w:top w:val="single" w:sz="4" w:space="0" w:color="000000"/>
              <w:left w:val="single" w:sz="4" w:space="0" w:color="000000"/>
              <w:bottom w:val="single" w:sz="4" w:space="0" w:color="000000"/>
              <w:right w:val="single" w:sz="4" w:space="0" w:color="000000"/>
            </w:tcBorders>
            <w:vAlign w:val="center"/>
          </w:tcPr>
          <w:p w14:paraId="0F411E3E" w14:textId="77777777" w:rsidR="00612B49" w:rsidRPr="006A46D0" w:rsidRDefault="006A46D0" w:rsidP="005F7451">
            <w:pPr>
              <w:rPr>
                <w:rFonts w:asciiTheme="majorHAnsi" w:eastAsia="Trebuchet MS" w:hAnsiTheme="majorHAnsi" w:cstheme="majorHAnsi"/>
                <w:sz w:val="24"/>
                <w:szCs w:val="24"/>
              </w:rPr>
            </w:pPr>
            <w:r w:rsidRPr="006A46D0">
              <w:rPr>
                <w:rFonts w:asciiTheme="majorHAnsi" w:eastAsia="Trebuchet MS" w:hAnsiTheme="majorHAnsi" w:cstheme="majorHAnsi"/>
                <w:sz w:val="24"/>
                <w:szCs w:val="24"/>
              </w:rPr>
              <w:t xml:space="preserve"> </w:t>
            </w:r>
          </w:p>
        </w:tc>
      </w:tr>
      <w:tr w:rsidR="00612B49" w:rsidRPr="006A46D0" w14:paraId="1C6E3478" w14:textId="77777777" w:rsidTr="005F7451">
        <w:trPr>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2549A292" w14:textId="77777777" w:rsidR="00612B49" w:rsidRPr="006A46D0" w:rsidRDefault="006A46D0" w:rsidP="005F7451">
            <w:pPr>
              <w:rPr>
                <w:rFonts w:asciiTheme="majorHAnsi" w:eastAsia="Trebuchet MS" w:hAnsiTheme="majorHAnsi" w:cstheme="majorHAnsi"/>
                <w:bCs/>
                <w:sz w:val="24"/>
                <w:szCs w:val="24"/>
              </w:rPr>
            </w:pPr>
            <w:proofErr w:type="spellStart"/>
            <w:r w:rsidRPr="006A46D0">
              <w:rPr>
                <w:rFonts w:asciiTheme="majorHAnsi" w:eastAsia="Trebuchet MS" w:hAnsiTheme="majorHAnsi" w:cstheme="majorHAnsi"/>
                <w:bCs/>
                <w:sz w:val="24"/>
                <w:szCs w:val="24"/>
              </w:rPr>
              <w:t>Commission</w:t>
            </w:r>
            <w:proofErr w:type="spellEnd"/>
            <w:r w:rsidRPr="006A46D0">
              <w:rPr>
                <w:rFonts w:asciiTheme="majorHAnsi" w:eastAsia="Trebuchet MS" w:hAnsiTheme="majorHAnsi" w:cstheme="majorHAnsi"/>
                <w:bCs/>
                <w:sz w:val="24"/>
                <w:szCs w:val="24"/>
              </w:rPr>
              <w:t xml:space="preserve"> </w:t>
            </w:r>
            <w:proofErr w:type="spellStart"/>
            <w:r w:rsidRPr="006A46D0">
              <w:rPr>
                <w:rFonts w:asciiTheme="majorHAnsi" w:eastAsia="Trebuchet MS" w:hAnsiTheme="majorHAnsi" w:cstheme="majorHAnsi"/>
                <w:bCs/>
                <w:sz w:val="24"/>
                <w:szCs w:val="24"/>
              </w:rPr>
              <w:t>Decision</w:t>
            </w:r>
            <w:proofErr w:type="spellEnd"/>
            <w:r w:rsidRPr="006A46D0">
              <w:rPr>
                <w:rFonts w:asciiTheme="majorHAnsi" w:eastAsia="Trebuchet MS" w:hAnsiTheme="majorHAnsi" w:cstheme="majorHAnsi"/>
                <w:bCs/>
                <w:sz w:val="24"/>
                <w:szCs w:val="24"/>
              </w:rPr>
              <w:t xml:space="preserve"> Date  </w:t>
            </w:r>
          </w:p>
        </w:tc>
        <w:tc>
          <w:tcPr>
            <w:tcW w:w="6514" w:type="dxa"/>
            <w:tcBorders>
              <w:top w:val="single" w:sz="4" w:space="0" w:color="000000"/>
              <w:left w:val="single" w:sz="4" w:space="0" w:color="000000"/>
              <w:bottom w:val="single" w:sz="4" w:space="0" w:color="000000"/>
              <w:right w:val="single" w:sz="4" w:space="0" w:color="000000"/>
            </w:tcBorders>
            <w:vAlign w:val="center"/>
          </w:tcPr>
          <w:p w14:paraId="14EE7E41" w14:textId="77777777" w:rsidR="00612B49" w:rsidRPr="006A46D0" w:rsidRDefault="006A46D0" w:rsidP="005F7451">
            <w:pPr>
              <w:rPr>
                <w:rFonts w:asciiTheme="majorHAnsi" w:eastAsia="Trebuchet MS" w:hAnsiTheme="majorHAnsi" w:cstheme="majorHAnsi"/>
                <w:sz w:val="24"/>
                <w:szCs w:val="24"/>
              </w:rPr>
            </w:pPr>
            <w:r w:rsidRPr="006A46D0">
              <w:rPr>
                <w:rFonts w:asciiTheme="majorHAnsi" w:eastAsia="Trebuchet MS" w:hAnsiTheme="majorHAnsi" w:cstheme="majorHAnsi"/>
                <w:b/>
                <w:sz w:val="24"/>
                <w:szCs w:val="24"/>
              </w:rPr>
              <w:t xml:space="preserve"> </w:t>
            </w:r>
          </w:p>
        </w:tc>
      </w:tr>
      <w:tr w:rsidR="00612B49" w:rsidRPr="006A46D0" w14:paraId="07E44FF5" w14:textId="77777777" w:rsidTr="005F7451">
        <w:trPr>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4ADFA38E" w14:textId="77777777" w:rsidR="00612B49" w:rsidRPr="006A46D0" w:rsidRDefault="006A46D0" w:rsidP="005F7451">
            <w:pPr>
              <w:rPr>
                <w:rFonts w:asciiTheme="majorHAnsi" w:eastAsia="Trebuchet MS" w:hAnsiTheme="majorHAnsi" w:cstheme="majorHAnsi"/>
                <w:bCs/>
                <w:sz w:val="24"/>
                <w:szCs w:val="24"/>
              </w:rPr>
            </w:pPr>
            <w:proofErr w:type="spellStart"/>
            <w:r w:rsidRPr="006A46D0">
              <w:rPr>
                <w:rFonts w:asciiTheme="majorHAnsi" w:eastAsia="Trebuchet MS" w:hAnsiTheme="majorHAnsi" w:cstheme="majorHAnsi"/>
                <w:bCs/>
                <w:sz w:val="24"/>
                <w:szCs w:val="24"/>
              </w:rPr>
              <w:t>Member</w:t>
            </w:r>
            <w:proofErr w:type="spellEnd"/>
            <w:r w:rsidRPr="006A46D0">
              <w:rPr>
                <w:rFonts w:asciiTheme="majorHAnsi" w:eastAsia="Trebuchet MS" w:hAnsiTheme="majorHAnsi" w:cstheme="majorHAnsi"/>
                <w:bCs/>
                <w:sz w:val="24"/>
                <w:szCs w:val="24"/>
              </w:rPr>
              <w:t xml:space="preserve"> State </w:t>
            </w:r>
            <w:proofErr w:type="spellStart"/>
            <w:r w:rsidRPr="006A46D0">
              <w:rPr>
                <w:rFonts w:asciiTheme="majorHAnsi" w:eastAsia="Trebuchet MS" w:hAnsiTheme="majorHAnsi" w:cstheme="majorHAnsi"/>
                <w:bCs/>
                <w:sz w:val="24"/>
                <w:szCs w:val="24"/>
              </w:rPr>
              <w:t>amending</w:t>
            </w:r>
            <w:proofErr w:type="spellEnd"/>
            <w:r w:rsidRPr="006A46D0">
              <w:rPr>
                <w:rFonts w:asciiTheme="majorHAnsi" w:eastAsia="Trebuchet MS" w:hAnsiTheme="majorHAnsi" w:cstheme="majorHAnsi"/>
                <w:bCs/>
                <w:sz w:val="24"/>
                <w:szCs w:val="24"/>
              </w:rPr>
              <w:t xml:space="preserve"> </w:t>
            </w:r>
            <w:proofErr w:type="spellStart"/>
            <w:r w:rsidRPr="006A46D0">
              <w:rPr>
                <w:rFonts w:asciiTheme="majorHAnsi" w:eastAsia="Trebuchet MS" w:hAnsiTheme="majorHAnsi" w:cstheme="majorHAnsi"/>
                <w:bCs/>
                <w:sz w:val="24"/>
                <w:szCs w:val="24"/>
              </w:rPr>
              <w:t>decision</w:t>
            </w:r>
            <w:proofErr w:type="spellEnd"/>
            <w:r w:rsidRPr="006A46D0">
              <w:rPr>
                <w:rFonts w:asciiTheme="majorHAnsi" w:eastAsia="Trebuchet MS" w:hAnsiTheme="majorHAnsi" w:cstheme="majorHAnsi"/>
                <w:bCs/>
                <w:sz w:val="24"/>
                <w:szCs w:val="24"/>
              </w:rPr>
              <w:t xml:space="preserve"> </w:t>
            </w:r>
            <w:proofErr w:type="spellStart"/>
            <w:r w:rsidRPr="006A46D0">
              <w:rPr>
                <w:rFonts w:asciiTheme="majorHAnsi" w:eastAsia="Trebuchet MS" w:hAnsiTheme="majorHAnsi" w:cstheme="majorHAnsi"/>
                <w:bCs/>
                <w:sz w:val="24"/>
                <w:szCs w:val="24"/>
              </w:rPr>
              <w:t>number</w:t>
            </w:r>
            <w:proofErr w:type="spellEnd"/>
            <w:r w:rsidRPr="006A46D0">
              <w:rPr>
                <w:rFonts w:asciiTheme="majorHAnsi" w:eastAsia="Trebuchet MS" w:hAnsiTheme="majorHAnsi" w:cstheme="majorHAnsi"/>
                <w:bCs/>
                <w:sz w:val="24"/>
                <w:szCs w:val="24"/>
              </w:rPr>
              <w:t xml:space="preserve"> </w:t>
            </w:r>
          </w:p>
        </w:tc>
        <w:tc>
          <w:tcPr>
            <w:tcW w:w="6514" w:type="dxa"/>
            <w:tcBorders>
              <w:top w:val="single" w:sz="4" w:space="0" w:color="000000"/>
              <w:left w:val="single" w:sz="4" w:space="0" w:color="000000"/>
              <w:bottom w:val="single" w:sz="4" w:space="0" w:color="000000"/>
              <w:right w:val="single" w:sz="4" w:space="0" w:color="000000"/>
            </w:tcBorders>
            <w:vAlign w:val="center"/>
          </w:tcPr>
          <w:p w14:paraId="00924EC3" w14:textId="77777777" w:rsidR="00612B49" w:rsidRPr="006A46D0" w:rsidRDefault="006A46D0" w:rsidP="005F7451">
            <w:pPr>
              <w:rPr>
                <w:rFonts w:asciiTheme="majorHAnsi" w:eastAsia="Trebuchet MS" w:hAnsiTheme="majorHAnsi" w:cstheme="majorHAnsi"/>
                <w:sz w:val="24"/>
                <w:szCs w:val="24"/>
              </w:rPr>
            </w:pPr>
            <w:r w:rsidRPr="006A46D0">
              <w:rPr>
                <w:rFonts w:asciiTheme="majorHAnsi" w:eastAsia="Trebuchet MS" w:hAnsiTheme="majorHAnsi" w:cstheme="majorHAnsi"/>
                <w:b/>
                <w:sz w:val="24"/>
                <w:szCs w:val="24"/>
              </w:rPr>
              <w:t xml:space="preserve"> </w:t>
            </w:r>
          </w:p>
        </w:tc>
      </w:tr>
      <w:tr w:rsidR="00612B49" w:rsidRPr="006A46D0" w14:paraId="48901523" w14:textId="77777777" w:rsidTr="005F7451">
        <w:trPr>
          <w:jc w:val="center"/>
        </w:trPr>
        <w:tc>
          <w:tcPr>
            <w:tcW w:w="3114" w:type="dxa"/>
            <w:tcBorders>
              <w:top w:val="single" w:sz="4" w:space="0" w:color="000000"/>
              <w:left w:val="single" w:sz="4" w:space="0" w:color="000000"/>
              <w:bottom w:val="single" w:sz="4" w:space="0" w:color="000000"/>
              <w:right w:val="single" w:sz="4" w:space="0" w:color="000000"/>
            </w:tcBorders>
            <w:vAlign w:val="center"/>
          </w:tcPr>
          <w:p w14:paraId="0280BF14" w14:textId="65A0423F" w:rsidR="00612B49" w:rsidRPr="006A46D0" w:rsidRDefault="006A46D0" w:rsidP="005F7451">
            <w:pPr>
              <w:rPr>
                <w:rFonts w:asciiTheme="majorHAnsi" w:eastAsia="Trebuchet MS" w:hAnsiTheme="majorHAnsi" w:cstheme="majorHAnsi"/>
                <w:bCs/>
                <w:sz w:val="24"/>
                <w:szCs w:val="24"/>
              </w:rPr>
            </w:pPr>
            <w:proofErr w:type="spellStart"/>
            <w:r w:rsidRPr="006A46D0">
              <w:rPr>
                <w:rFonts w:asciiTheme="majorHAnsi" w:eastAsia="Trebuchet MS" w:hAnsiTheme="majorHAnsi" w:cstheme="majorHAnsi"/>
                <w:bCs/>
                <w:sz w:val="24"/>
                <w:szCs w:val="24"/>
              </w:rPr>
              <w:t>Member</w:t>
            </w:r>
            <w:proofErr w:type="spellEnd"/>
            <w:r w:rsidRPr="006A46D0">
              <w:rPr>
                <w:rFonts w:asciiTheme="majorHAnsi" w:eastAsia="Trebuchet MS" w:hAnsiTheme="majorHAnsi" w:cstheme="majorHAnsi"/>
                <w:bCs/>
                <w:sz w:val="24"/>
                <w:szCs w:val="24"/>
              </w:rPr>
              <w:t xml:space="preserve"> State </w:t>
            </w:r>
            <w:proofErr w:type="spellStart"/>
            <w:r w:rsidRPr="006A46D0">
              <w:rPr>
                <w:rFonts w:asciiTheme="majorHAnsi" w:eastAsia="Trebuchet MS" w:hAnsiTheme="majorHAnsi" w:cstheme="majorHAnsi"/>
                <w:bCs/>
                <w:sz w:val="24"/>
                <w:szCs w:val="24"/>
              </w:rPr>
              <w:t>amending</w:t>
            </w:r>
            <w:proofErr w:type="spellEnd"/>
            <w:r w:rsidRPr="006A46D0">
              <w:rPr>
                <w:rFonts w:asciiTheme="majorHAnsi" w:eastAsia="Trebuchet MS" w:hAnsiTheme="majorHAnsi" w:cstheme="majorHAnsi"/>
                <w:bCs/>
                <w:sz w:val="24"/>
                <w:szCs w:val="24"/>
              </w:rPr>
              <w:t xml:space="preserve"> </w:t>
            </w:r>
            <w:proofErr w:type="spellStart"/>
            <w:r w:rsidRPr="006A46D0">
              <w:rPr>
                <w:rFonts w:asciiTheme="majorHAnsi" w:eastAsia="Trebuchet MS" w:hAnsiTheme="majorHAnsi" w:cstheme="majorHAnsi"/>
                <w:bCs/>
                <w:sz w:val="24"/>
                <w:szCs w:val="24"/>
              </w:rPr>
              <w:t>decision</w:t>
            </w:r>
            <w:proofErr w:type="spellEnd"/>
            <w:r w:rsidRPr="006A46D0">
              <w:rPr>
                <w:rFonts w:asciiTheme="majorHAnsi" w:eastAsia="Trebuchet MS" w:hAnsiTheme="majorHAnsi" w:cstheme="majorHAnsi"/>
                <w:bCs/>
                <w:sz w:val="24"/>
                <w:szCs w:val="24"/>
              </w:rPr>
              <w:t xml:space="preserve"> </w:t>
            </w:r>
            <w:proofErr w:type="spellStart"/>
            <w:r w:rsidRPr="006A46D0">
              <w:rPr>
                <w:rFonts w:asciiTheme="majorHAnsi" w:eastAsia="Trebuchet MS" w:hAnsiTheme="majorHAnsi" w:cstheme="majorHAnsi"/>
                <w:bCs/>
                <w:sz w:val="24"/>
                <w:szCs w:val="24"/>
              </w:rPr>
              <w:t>entry</w:t>
            </w:r>
            <w:proofErr w:type="spellEnd"/>
            <w:r w:rsidRPr="006A46D0">
              <w:rPr>
                <w:rFonts w:asciiTheme="majorHAnsi" w:eastAsia="Trebuchet MS" w:hAnsiTheme="majorHAnsi" w:cstheme="majorHAnsi"/>
                <w:bCs/>
                <w:sz w:val="24"/>
                <w:szCs w:val="24"/>
              </w:rPr>
              <w:t xml:space="preserve"> </w:t>
            </w:r>
            <w:proofErr w:type="spellStart"/>
            <w:r w:rsidRPr="006A46D0">
              <w:rPr>
                <w:rFonts w:asciiTheme="majorHAnsi" w:eastAsia="Trebuchet MS" w:hAnsiTheme="majorHAnsi" w:cstheme="majorHAnsi"/>
                <w:bCs/>
                <w:sz w:val="24"/>
                <w:szCs w:val="24"/>
              </w:rPr>
              <w:t>into</w:t>
            </w:r>
            <w:proofErr w:type="spellEnd"/>
            <w:r w:rsidRPr="006A46D0">
              <w:rPr>
                <w:rFonts w:asciiTheme="majorHAnsi" w:eastAsia="Trebuchet MS" w:hAnsiTheme="majorHAnsi" w:cstheme="majorHAnsi"/>
                <w:bCs/>
                <w:sz w:val="24"/>
                <w:szCs w:val="24"/>
              </w:rPr>
              <w:t xml:space="preserve"> </w:t>
            </w:r>
            <w:proofErr w:type="spellStart"/>
            <w:r w:rsidRPr="006A46D0">
              <w:rPr>
                <w:rFonts w:asciiTheme="majorHAnsi" w:eastAsia="Trebuchet MS" w:hAnsiTheme="majorHAnsi" w:cstheme="majorHAnsi"/>
                <w:bCs/>
                <w:sz w:val="24"/>
                <w:szCs w:val="24"/>
              </w:rPr>
              <w:t>force</w:t>
            </w:r>
            <w:proofErr w:type="spellEnd"/>
            <w:r w:rsidRPr="006A46D0">
              <w:rPr>
                <w:rFonts w:asciiTheme="majorHAnsi" w:eastAsia="Trebuchet MS" w:hAnsiTheme="majorHAnsi" w:cstheme="majorHAnsi"/>
                <w:bCs/>
                <w:sz w:val="24"/>
                <w:szCs w:val="24"/>
              </w:rPr>
              <w:t xml:space="preserve"> date </w:t>
            </w:r>
          </w:p>
        </w:tc>
        <w:tc>
          <w:tcPr>
            <w:tcW w:w="6514" w:type="dxa"/>
            <w:tcBorders>
              <w:top w:val="single" w:sz="4" w:space="0" w:color="000000"/>
              <w:left w:val="single" w:sz="4" w:space="0" w:color="000000"/>
              <w:bottom w:val="single" w:sz="4" w:space="0" w:color="000000"/>
              <w:right w:val="single" w:sz="4" w:space="0" w:color="000000"/>
            </w:tcBorders>
            <w:vAlign w:val="center"/>
          </w:tcPr>
          <w:p w14:paraId="202F1046" w14:textId="77777777" w:rsidR="00612B49" w:rsidRPr="006A46D0" w:rsidRDefault="006A46D0" w:rsidP="005F7451">
            <w:pPr>
              <w:rPr>
                <w:rFonts w:asciiTheme="majorHAnsi" w:eastAsia="Trebuchet MS" w:hAnsiTheme="majorHAnsi" w:cstheme="majorHAnsi"/>
                <w:sz w:val="24"/>
                <w:szCs w:val="24"/>
              </w:rPr>
            </w:pPr>
            <w:r w:rsidRPr="006A46D0">
              <w:rPr>
                <w:rFonts w:asciiTheme="majorHAnsi" w:eastAsia="Trebuchet MS" w:hAnsiTheme="majorHAnsi" w:cstheme="majorHAnsi"/>
                <w:b/>
                <w:sz w:val="24"/>
                <w:szCs w:val="24"/>
              </w:rPr>
              <w:t xml:space="preserve"> </w:t>
            </w:r>
          </w:p>
        </w:tc>
      </w:tr>
    </w:tbl>
    <w:p w14:paraId="5A87CA09" w14:textId="77777777" w:rsidR="00612B49" w:rsidRPr="006A46D0" w:rsidRDefault="006A46D0" w:rsidP="006A46D0">
      <w:pPr>
        <w:spacing w:after="120" w:line="240" w:lineRule="auto"/>
        <w:ind w:left="850"/>
        <w:rPr>
          <w:rFonts w:asciiTheme="majorHAnsi" w:eastAsia="Trebuchet MS" w:hAnsiTheme="majorHAnsi" w:cstheme="majorHAnsi"/>
          <w:sz w:val="24"/>
          <w:szCs w:val="24"/>
        </w:rPr>
      </w:pPr>
      <w:r w:rsidRPr="006A46D0">
        <w:rPr>
          <w:rFonts w:asciiTheme="majorHAnsi" w:eastAsia="Trebuchet MS" w:hAnsiTheme="majorHAnsi" w:cstheme="majorHAnsi"/>
          <w:b/>
          <w:sz w:val="24"/>
          <w:szCs w:val="24"/>
        </w:rPr>
        <w:t xml:space="preserve"> </w:t>
      </w:r>
    </w:p>
    <w:p w14:paraId="09D5BF3B" w14:textId="77777777" w:rsidR="00EA37BF" w:rsidRPr="001C1D0E" w:rsidRDefault="00EA37BF" w:rsidP="00EA37BF">
      <w:pPr>
        <w:numPr>
          <w:ilvl w:val="0"/>
          <w:numId w:val="9"/>
        </w:numPr>
        <w:spacing w:after="120" w:line="240" w:lineRule="auto"/>
        <w:jc w:val="both"/>
        <w:rPr>
          <w:rFonts w:asciiTheme="majorHAnsi" w:hAnsiTheme="majorHAnsi" w:cstheme="majorHAnsi"/>
          <w:b/>
          <w:color w:val="FFFFFF" w:themeColor="background1"/>
          <w:sz w:val="28"/>
          <w:szCs w:val="28"/>
          <w:highlight w:val="darkBlue"/>
        </w:rPr>
      </w:pPr>
      <w:bookmarkStart w:id="1" w:name="_x9vqp2yru465" w:colFirst="0" w:colLast="0"/>
      <w:bookmarkEnd w:id="1"/>
      <w:proofErr w:type="spellStart"/>
      <w:r w:rsidRPr="001C1D0E">
        <w:rPr>
          <w:rFonts w:asciiTheme="majorHAnsi" w:hAnsiTheme="majorHAnsi" w:cstheme="majorHAnsi"/>
          <w:b/>
          <w:color w:val="FFFFFF" w:themeColor="background1"/>
          <w:sz w:val="28"/>
          <w:szCs w:val="28"/>
          <w:highlight w:val="darkBlue"/>
        </w:rPr>
        <w:t>Programme</w:t>
      </w:r>
      <w:proofErr w:type="spellEnd"/>
      <w:r w:rsidRPr="001C1D0E">
        <w:rPr>
          <w:rFonts w:asciiTheme="majorHAnsi" w:hAnsiTheme="majorHAnsi" w:cstheme="majorHAnsi"/>
          <w:b/>
          <w:color w:val="FFFFFF" w:themeColor="background1"/>
          <w:sz w:val="28"/>
          <w:szCs w:val="28"/>
          <w:highlight w:val="darkBlue"/>
        </w:rPr>
        <w:t xml:space="preserve"> </w:t>
      </w:r>
      <w:proofErr w:type="spellStart"/>
      <w:r w:rsidRPr="001C1D0E">
        <w:rPr>
          <w:rFonts w:asciiTheme="majorHAnsi" w:hAnsiTheme="majorHAnsi" w:cstheme="majorHAnsi"/>
          <w:b/>
          <w:color w:val="FFFFFF" w:themeColor="background1"/>
          <w:sz w:val="28"/>
          <w:szCs w:val="28"/>
          <w:highlight w:val="darkBlue"/>
        </w:rPr>
        <w:t>strategy</w:t>
      </w:r>
      <w:proofErr w:type="spellEnd"/>
      <w:r w:rsidRPr="001C1D0E">
        <w:rPr>
          <w:rFonts w:asciiTheme="majorHAnsi" w:hAnsiTheme="majorHAnsi" w:cstheme="majorHAnsi"/>
          <w:b/>
          <w:color w:val="FFFFFF" w:themeColor="background1"/>
          <w:sz w:val="28"/>
          <w:szCs w:val="28"/>
          <w:highlight w:val="darkBlue"/>
        </w:rPr>
        <w:t xml:space="preserve">: </w:t>
      </w:r>
      <w:proofErr w:type="spellStart"/>
      <w:r w:rsidRPr="001C1D0E">
        <w:rPr>
          <w:rFonts w:asciiTheme="majorHAnsi" w:hAnsiTheme="majorHAnsi" w:cstheme="majorHAnsi"/>
          <w:b/>
          <w:color w:val="FFFFFF" w:themeColor="background1"/>
          <w:sz w:val="28"/>
          <w:szCs w:val="28"/>
          <w:highlight w:val="darkBlue"/>
        </w:rPr>
        <w:t>main</w:t>
      </w:r>
      <w:proofErr w:type="spellEnd"/>
      <w:r w:rsidRPr="001C1D0E">
        <w:rPr>
          <w:rFonts w:asciiTheme="majorHAnsi" w:hAnsiTheme="majorHAnsi" w:cstheme="majorHAnsi"/>
          <w:b/>
          <w:color w:val="FFFFFF" w:themeColor="background1"/>
          <w:sz w:val="28"/>
          <w:szCs w:val="28"/>
          <w:highlight w:val="darkBlue"/>
        </w:rPr>
        <w:t xml:space="preserve"> </w:t>
      </w:r>
      <w:proofErr w:type="spellStart"/>
      <w:r w:rsidRPr="001C1D0E">
        <w:rPr>
          <w:rFonts w:asciiTheme="majorHAnsi" w:hAnsiTheme="majorHAnsi" w:cstheme="majorHAnsi"/>
          <w:b/>
          <w:color w:val="FFFFFF" w:themeColor="background1"/>
          <w:sz w:val="28"/>
          <w:szCs w:val="28"/>
          <w:highlight w:val="darkBlue"/>
        </w:rPr>
        <w:t>challenges</w:t>
      </w:r>
      <w:proofErr w:type="spellEnd"/>
      <w:r w:rsidRPr="001C1D0E">
        <w:rPr>
          <w:rFonts w:asciiTheme="majorHAnsi" w:hAnsiTheme="majorHAnsi" w:cstheme="majorHAnsi"/>
          <w:b/>
          <w:color w:val="FFFFFF" w:themeColor="background1"/>
          <w:sz w:val="28"/>
          <w:szCs w:val="28"/>
          <w:highlight w:val="darkBlue"/>
        </w:rPr>
        <w:t xml:space="preserve"> </w:t>
      </w:r>
      <w:proofErr w:type="spellStart"/>
      <w:r w:rsidRPr="001C1D0E">
        <w:rPr>
          <w:rFonts w:asciiTheme="majorHAnsi" w:hAnsiTheme="majorHAnsi" w:cstheme="majorHAnsi"/>
          <w:b/>
          <w:color w:val="FFFFFF" w:themeColor="background1"/>
          <w:sz w:val="28"/>
          <w:szCs w:val="28"/>
          <w:highlight w:val="darkBlue"/>
        </w:rPr>
        <w:t>and</w:t>
      </w:r>
      <w:proofErr w:type="spellEnd"/>
      <w:r w:rsidRPr="001C1D0E">
        <w:rPr>
          <w:rFonts w:asciiTheme="majorHAnsi" w:hAnsiTheme="majorHAnsi" w:cstheme="majorHAnsi"/>
          <w:b/>
          <w:color w:val="FFFFFF" w:themeColor="background1"/>
          <w:sz w:val="28"/>
          <w:szCs w:val="28"/>
          <w:highlight w:val="darkBlue"/>
        </w:rPr>
        <w:t xml:space="preserve"> </w:t>
      </w:r>
      <w:proofErr w:type="spellStart"/>
      <w:r w:rsidRPr="001C1D0E">
        <w:rPr>
          <w:rFonts w:asciiTheme="majorHAnsi" w:hAnsiTheme="majorHAnsi" w:cstheme="majorHAnsi"/>
          <w:b/>
          <w:color w:val="FFFFFF" w:themeColor="background1"/>
          <w:sz w:val="28"/>
          <w:szCs w:val="28"/>
          <w:highlight w:val="darkBlue"/>
        </w:rPr>
        <w:t>policy</w:t>
      </w:r>
      <w:proofErr w:type="spellEnd"/>
      <w:r w:rsidRPr="001C1D0E">
        <w:rPr>
          <w:rFonts w:asciiTheme="majorHAnsi" w:hAnsiTheme="majorHAnsi" w:cstheme="majorHAnsi"/>
          <w:b/>
          <w:color w:val="FFFFFF" w:themeColor="background1"/>
          <w:sz w:val="28"/>
          <w:szCs w:val="28"/>
          <w:highlight w:val="darkBlue"/>
        </w:rPr>
        <w:t xml:space="preserve"> </w:t>
      </w:r>
      <w:proofErr w:type="spellStart"/>
      <w:r w:rsidRPr="001C1D0E">
        <w:rPr>
          <w:rFonts w:asciiTheme="majorHAnsi" w:hAnsiTheme="majorHAnsi" w:cstheme="majorHAnsi"/>
          <w:b/>
          <w:color w:val="FFFFFF" w:themeColor="background1"/>
          <w:sz w:val="28"/>
          <w:szCs w:val="28"/>
          <w:highlight w:val="darkBlue"/>
        </w:rPr>
        <w:t>responses</w:t>
      </w:r>
      <w:proofErr w:type="spellEnd"/>
      <w:r w:rsidRPr="001C1D0E">
        <w:rPr>
          <w:rFonts w:asciiTheme="majorHAnsi" w:hAnsiTheme="majorHAnsi" w:cstheme="majorHAnsi"/>
          <w:b/>
          <w:color w:val="FFFFFF" w:themeColor="background1"/>
          <w:sz w:val="28"/>
          <w:szCs w:val="28"/>
          <w:highlight w:val="darkBlue"/>
        </w:rPr>
        <w:t xml:space="preserve"> </w:t>
      </w:r>
    </w:p>
    <w:p w14:paraId="17862770" w14:textId="77777777" w:rsidR="006A46D0" w:rsidRDefault="006A46D0" w:rsidP="006A46D0">
      <w:pPr>
        <w:spacing w:after="120" w:line="240" w:lineRule="auto"/>
        <w:ind w:left="845" w:hanging="10"/>
        <w:rPr>
          <w:rFonts w:asciiTheme="majorHAnsi" w:eastAsia="Trebuchet MS" w:hAnsiTheme="majorHAnsi" w:cstheme="majorHAnsi"/>
          <w:i/>
          <w:sz w:val="24"/>
          <w:szCs w:val="24"/>
        </w:rPr>
      </w:pPr>
      <w:proofErr w:type="spellStart"/>
      <w:r w:rsidRPr="006A46D0">
        <w:rPr>
          <w:rFonts w:asciiTheme="majorHAnsi" w:eastAsia="Trebuchet MS" w:hAnsiTheme="majorHAnsi" w:cstheme="majorHAnsi"/>
          <w:i/>
          <w:sz w:val="24"/>
          <w:szCs w:val="24"/>
        </w:rPr>
        <w:t>Reference</w:t>
      </w:r>
      <w:proofErr w:type="spellEnd"/>
      <w:r w:rsidRPr="006A46D0">
        <w:rPr>
          <w:rFonts w:asciiTheme="majorHAnsi" w:eastAsia="Trebuchet MS" w:hAnsiTheme="majorHAnsi" w:cstheme="majorHAnsi"/>
          <w:i/>
          <w:sz w:val="24"/>
          <w:szCs w:val="24"/>
        </w:rPr>
        <w:t xml:space="preserve">: </w:t>
      </w:r>
      <w:proofErr w:type="spellStart"/>
      <w:r w:rsidRPr="006A46D0">
        <w:rPr>
          <w:rFonts w:asciiTheme="majorHAnsi" w:eastAsia="Trebuchet MS" w:hAnsiTheme="majorHAnsi" w:cstheme="majorHAnsi"/>
          <w:i/>
          <w:sz w:val="24"/>
          <w:szCs w:val="24"/>
        </w:rPr>
        <w:t>Article</w:t>
      </w:r>
      <w:proofErr w:type="spellEnd"/>
      <w:r w:rsidRPr="006A46D0">
        <w:rPr>
          <w:rFonts w:asciiTheme="majorHAnsi" w:eastAsia="Trebuchet MS" w:hAnsiTheme="majorHAnsi" w:cstheme="majorHAnsi"/>
          <w:i/>
          <w:sz w:val="24"/>
          <w:szCs w:val="24"/>
        </w:rPr>
        <w:t xml:space="preserve"> 17(3)(a) )(ii bis), (iii), (iv) </w:t>
      </w:r>
      <w:proofErr w:type="spellStart"/>
      <w:r w:rsidRPr="006A46D0">
        <w:rPr>
          <w:rFonts w:asciiTheme="majorHAnsi" w:eastAsia="Trebuchet MS" w:hAnsiTheme="majorHAnsi" w:cstheme="majorHAnsi"/>
          <w:i/>
          <w:sz w:val="24"/>
          <w:szCs w:val="24"/>
        </w:rPr>
        <w:t>and</w:t>
      </w:r>
      <w:proofErr w:type="spellEnd"/>
      <w:r w:rsidRPr="006A46D0">
        <w:rPr>
          <w:rFonts w:asciiTheme="majorHAnsi" w:eastAsia="Trebuchet MS" w:hAnsiTheme="majorHAnsi" w:cstheme="majorHAnsi"/>
          <w:i/>
          <w:sz w:val="24"/>
          <w:szCs w:val="24"/>
        </w:rPr>
        <w:t xml:space="preserve"> (vii) </w:t>
      </w:r>
      <w:proofErr w:type="spellStart"/>
      <w:r w:rsidRPr="006A46D0">
        <w:rPr>
          <w:rFonts w:asciiTheme="majorHAnsi" w:eastAsia="Trebuchet MS" w:hAnsiTheme="majorHAnsi" w:cstheme="majorHAnsi"/>
          <w:i/>
          <w:sz w:val="24"/>
          <w:szCs w:val="24"/>
        </w:rPr>
        <w:t>and</w:t>
      </w:r>
      <w:proofErr w:type="spellEnd"/>
      <w:r w:rsidRPr="006A46D0">
        <w:rPr>
          <w:rFonts w:asciiTheme="majorHAnsi" w:eastAsia="Trebuchet MS" w:hAnsiTheme="majorHAnsi" w:cstheme="majorHAnsi"/>
          <w:i/>
          <w:sz w:val="24"/>
          <w:szCs w:val="24"/>
        </w:rPr>
        <w:t xml:space="preserve"> CPR</w:t>
      </w:r>
    </w:p>
    <w:tbl>
      <w:tblPr>
        <w:tblStyle w:val="TableGrid"/>
        <w:tblW w:w="0" w:type="auto"/>
        <w:tblLook w:val="04A0" w:firstRow="1" w:lastRow="0" w:firstColumn="1" w:lastColumn="0" w:noHBand="0" w:noVBand="1"/>
      </w:tblPr>
      <w:tblGrid>
        <w:gridCol w:w="9628"/>
      </w:tblGrid>
      <w:tr w:rsidR="006A46D0" w14:paraId="038604B0" w14:textId="77777777" w:rsidTr="006A46D0">
        <w:tc>
          <w:tcPr>
            <w:tcW w:w="9628" w:type="dxa"/>
          </w:tcPr>
          <w:p w14:paraId="0A94A4E1" w14:textId="2C5D8386" w:rsidR="006A46D0" w:rsidRDefault="006A46D0" w:rsidP="006A46D0">
            <w:pPr>
              <w:spacing w:after="120"/>
              <w:rPr>
                <w:rFonts w:asciiTheme="majorHAnsi" w:eastAsia="Trebuchet MS" w:hAnsiTheme="majorHAnsi" w:cstheme="majorHAnsi"/>
                <w:i/>
                <w:sz w:val="24"/>
                <w:szCs w:val="24"/>
              </w:rPr>
            </w:pPr>
            <w:proofErr w:type="spellStart"/>
            <w:r w:rsidRPr="006A46D0">
              <w:rPr>
                <w:rFonts w:asciiTheme="majorHAnsi" w:eastAsia="Trebuchet MS" w:hAnsiTheme="majorHAnsi" w:cstheme="majorHAnsi"/>
                <w:i/>
                <w:color w:val="808080" w:themeColor="background1" w:themeShade="80"/>
                <w:sz w:val="24"/>
                <w:szCs w:val="24"/>
              </w:rPr>
              <w:t>This</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section</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explains</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how</w:t>
            </w:r>
            <w:proofErr w:type="spellEnd"/>
            <w:r w:rsidRPr="006A46D0">
              <w:rPr>
                <w:rFonts w:asciiTheme="majorHAnsi" w:eastAsia="Trebuchet MS" w:hAnsiTheme="majorHAnsi" w:cstheme="majorHAnsi"/>
                <w:i/>
                <w:color w:val="808080" w:themeColor="background1" w:themeShade="80"/>
                <w:sz w:val="24"/>
                <w:szCs w:val="24"/>
              </w:rPr>
              <w:t xml:space="preserve"> the </w:t>
            </w:r>
            <w:proofErr w:type="spellStart"/>
            <w:r w:rsidRPr="006A46D0">
              <w:rPr>
                <w:rFonts w:asciiTheme="majorHAnsi" w:eastAsia="Trebuchet MS" w:hAnsiTheme="majorHAnsi" w:cstheme="majorHAnsi"/>
                <w:i/>
                <w:color w:val="808080" w:themeColor="background1" w:themeShade="80"/>
                <w:sz w:val="24"/>
                <w:szCs w:val="24"/>
              </w:rPr>
              <w:t>programme</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will</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address</w:t>
            </w:r>
            <w:proofErr w:type="spellEnd"/>
            <w:r w:rsidRPr="006A46D0">
              <w:rPr>
                <w:rFonts w:asciiTheme="majorHAnsi" w:eastAsia="Trebuchet MS" w:hAnsiTheme="majorHAnsi" w:cstheme="majorHAnsi"/>
                <w:i/>
                <w:color w:val="808080" w:themeColor="background1" w:themeShade="80"/>
                <w:sz w:val="24"/>
                <w:szCs w:val="24"/>
              </w:rPr>
              <w:t xml:space="preserve"> the </w:t>
            </w:r>
            <w:proofErr w:type="spellStart"/>
            <w:r w:rsidRPr="006A46D0">
              <w:rPr>
                <w:rFonts w:asciiTheme="majorHAnsi" w:eastAsia="Trebuchet MS" w:hAnsiTheme="majorHAnsi" w:cstheme="majorHAnsi"/>
                <w:i/>
                <w:color w:val="808080" w:themeColor="background1" w:themeShade="80"/>
                <w:sz w:val="24"/>
                <w:szCs w:val="24"/>
              </w:rPr>
              <w:t>main</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challenges</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identified</w:t>
            </w:r>
            <w:proofErr w:type="spellEnd"/>
            <w:r w:rsidRPr="006A46D0">
              <w:rPr>
                <w:rFonts w:asciiTheme="majorHAnsi" w:eastAsia="Trebuchet MS" w:hAnsiTheme="majorHAnsi" w:cstheme="majorHAnsi"/>
                <w:i/>
                <w:color w:val="808080" w:themeColor="background1" w:themeShade="80"/>
                <w:sz w:val="24"/>
                <w:szCs w:val="24"/>
              </w:rPr>
              <w:t xml:space="preserve"> at the </w:t>
            </w:r>
            <w:proofErr w:type="spellStart"/>
            <w:r w:rsidRPr="006A46D0">
              <w:rPr>
                <w:rFonts w:asciiTheme="majorHAnsi" w:eastAsia="Trebuchet MS" w:hAnsiTheme="majorHAnsi" w:cstheme="majorHAnsi"/>
                <w:i/>
                <w:color w:val="808080" w:themeColor="background1" w:themeShade="80"/>
                <w:sz w:val="24"/>
                <w:szCs w:val="24"/>
              </w:rPr>
              <w:t>national</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level</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based</w:t>
            </w:r>
            <w:proofErr w:type="spellEnd"/>
            <w:r w:rsidRPr="006A46D0">
              <w:rPr>
                <w:rFonts w:asciiTheme="majorHAnsi" w:eastAsia="Trebuchet MS" w:hAnsiTheme="majorHAnsi" w:cstheme="majorHAnsi"/>
                <w:i/>
                <w:color w:val="808080" w:themeColor="background1" w:themeShade="80"/>
                <w:sz w:val="24"/>
                <w:szCs w:val="24"/>
              </w:rPr>
              <w:t xml:space="preserve"> on local, regional </w:t>
            </w:r>
            <w:proofErr w:type="spellStart"/>
            <w:r w:rsidRPr="006A46D0">
              <w:rPr>
                <w:rFonts w:asciiTheme="majorHAnsi" w:eastAsia="Trebuchet MS" w:hAnsiTheme="majorHAnsi" w:cstheme="majorHAnsi"/>
                <w:i/>
                <w:color w:val="808080" w:themeColor="background1" w:themeShade="80"/>
                <w:sz w:val="24"/>
                <w:szCs w:val="24"/>
              </w:rPr>
              <w:t>and</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national</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needs</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assessments</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and</w:t>
            </w:r>
            <w:proofErr w:type="spellEnd"/>
            <w:r w:rsidRPr="006A46D0">
              <w:rPr>
                <w:rFonts w:asciiTheme="majorHAnsi" w:eastAsia="Trebuchet MS" w:hAnsiTheme="majorHAnsi" w:cstheme="majorHAnsi"/>
                <w:i/>
                <w:color w:val="808080" w:themeColor="background1" w:themeShade="80"/>
                <w:sz w:val="24"/>
                <w:szCs w:val="24"/>
              </w:rPr>
              <w:t xml:space="preserve">/or </w:t>
            </w:r>
            <w:proofErr w:type="spellStart"/>
            <w:r w:rsidRPr="006A46D0">
              <w:rPr>
                <w:rFonts w:asciiTheme="majorHAnsi" w:eastAsia="Trebuchet MS" w:hAnsiTheme="majorHAnsi" w:cstheme="majorHAnsi"/>
                <w:i/>
                <w:color w:val="808080" w:themeColor="background1" w:themeShade="80"/>
                <w:sz w:val="24"/>
                <w:szCs w:val="24"/>
              </w:rPr>
              <w:t>strategies</w:t>
            </w:r>
            <w:proofErr w:type="spellEnd"/>
            <w:r w:rsidRPr="006A46D0">
              <w:rPr>
                <w:rFonts w:asciiTheme="majorHAnsi" w:eastAsia="Trebuchet MS" w:hAnsiTheme="majorHAnsi" w:cstheme="majorHAnsi"/>
                <w:i/>
                <w:color w:val="808080" w:themeColor="background1" w:themeShade="80"/>
                <w:sz w:val="24"/>
                <w:szCs w:val="24"/>
              </w:rPr>
              <w:t xml:space="preserve">. It </w:t>
            </w:r>
            <w:proofErr w:type="spellStart"/>
            <w:r w:rsidRPr="006A46D0">
              <w:rPr>
                <w:rFonts w:asciiTheme="majorHAnsi" w:eastAsia="Trebuchet MS" w:hAnsiTheme="majorHAnsi" w:cstheme="majorHAnsi"/>
                <w:i/>
                <w:color w:val="808080" w:themeColor="background1" w:themeShade="80"/>
                <w:sz w:val="24"/>
                <w:szCs w:val="24"/>
              </w:rPr>
              <w:t>provides</w:t>
            </w:r>
            <w:proofErr w:type="spellEnd"/>
            <w:r w:rsidRPr="006A46D0">
              <w:rPr>
                <w:rFonts w:asciiTheme="majorHAnsi" w:eastAsia="Trebuchet MS" w:hAnsiTheme="majorHAnsi" w:cstheme="majorHAnsi"/>
                <w:i/>
                <w:color w:val="808080" w:themeColor="background1" w:themeShade="80"/>
                <w:sz w:val="24"/>
                <w:szCs w:val="24"/>
              </w:rPr>
              <w:t xml:space="preserve"> an </w:t>
            </w:r>
            <w:proofErr w:type="spellStart"/>
            <w:r w:rsidRPr="006A46D0">
              <w:rPr>
                <w:rFonts w:asciiTheme="majorHAnsi" w:eastAsia="Trebuchet MS" w:hAnsiTheme="majorHAnsi" w:cstheme="majorHAnsi"/>
                <w:i/>
                <w:color w:val="808080" w:themeColor="background1" w:themeShade="80"/>
                <w:sz w:val="24"/>
                <w:szCs w:val="24"/>
              </w:rPr>
              <w:t>overview</w:t>
            </w:r>
            <w:proofErr w:type="spellEnd"/>
            <w:r w:rsidRPr="006A46D0">
              <w:rPr>
                <w:rFonts w:asciiTheme="majorHAnsi" w:eastAsia="Trebuchet MS" w:hAnsiTheme="majorHAnsi" w:cstheme="majorHAnsi"/>
                <w:i/>
                <w:color w:val="808080" w:themeColor="background1" w:themeShade="80"/>
                <w:sz w:val="24"/>
                <w:szCs w:val="24"/>
              </w:rPr>
              <w:t xml:space="preserve"> of the state of </w:t>
            </w:r>
            <w:proofErr w:type="spellStart"/>
            <w:r w:rsidRPr="006A46D0">
              <w:rPr>
                <w:rFonts w:asciiTheme="majorHAnsi" w:eastAsia="Trebuchet MS" w:hAnsiTheme="majorHAnsi" w:cstheme="majorHAnsi"/>
                <w:i/>
                <w:color w:val="808080" w:themeColor="background1" w:themeShade="80"/>
                <w:sz w:val="24"/>
                <w:szCs w:val="24"/>
              </w:rPr>
              <w:t>implementation</w:t>
            </w:r>
            <w:proofErr w:type="spellEnd"/>
            <w:r w:rsidRPr="006A46D0">
              <w:rPr>
                <w:rFonts w:asciiTheme="majorHAnsi" w:eastAsia="Trebuchet MS" w:hAnsiTheme="majorHAnsi" w:cstheme="majorHAnsi"/>
                <w:i/>
                <w:color w:val="808080" w:themeColor="background1" w:themeShade="80"/>
                <w:sz w:val="24"/>
                <w:szCs w:val="24"/>
              </w:rPr>
              <w:t xml:space="preserve"> of relevant EU acquis </w:t>
            </w:r>
            <w:proofErr w:type="spellStart"/>
            <w:r w:rsidRPr="006A46D0">
              <w:rPr>
                <w:rFonts w:asciiTheme="majorHAnsi" w:eastAsia="Trebuchet MS" w:hAnsiTheme="majorHAnsi" w:cstheme="majorHAnsi"/>
                <w:i/>
                <w:color w:val="808080" w:themeColor="background1" w:themeShade="80"/>
                <w:sz w:val="24"/>
                <w:szCs w:val="24"/>
              </w:rPr>
              <w:t>and</w:t>
            </w:r>
            <w:proofErr w:type="spellEnd"/>
            <w:r w:rsidRPr="006A46D0">
              <w:rPr>
                <w:rFonts w:asciiTheme="majorHAnsi" w:eastAsia="Trebuchet MS" w:hAnsiTheme="majorHAnsi" w:cstheme="majorHAnsi"/>
                <w:i/>
                <w:color w:val="808080" w:themeColor="background1" w:themeShade="80"/>
                <w:sz w:val="24"/>
                <w:szCs w:val="24"/>
              </w:rPr>
              <w:t xml:space="preserve"> the </w:t>
            </w:r>
            <w:proofErr w:type="spellStart"/>
            <w:r w:rsidRPr="006A46D0">
              <w:rPr>
                <w:rFonts w:asciiTheme="majorHAnsi" w:eastAsia="Trebuchet MS" w:hAnsiTheme="majorHAnsi" w:cstheme="majorHAnsi"/>
                <w:i/>
                <w:color w:val="808080" w:themeColor="background1" w:themeShade="80"/>
                <w:sz w:val="24"/>
                <w:szCs w:val="24"/>
              </w:rPr>
              <w:t>progress</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achieved</w:t>
            </w:r>
            <w:proofErr w:type="spellEnd"/>
            <w:r w:rsidRPr="006A46D0">
              <w:rPr>
                <w:rFonts w:asciiTheme="majorHAnsi" w:eastAsia="Trebuchet MS" w:hAnsiTheme="majorHAnsi" w:cstheme="majorHAnsi"/>
                <w:i/>
                <w:color w:val="808080" w:themeColor="background1" w:themeShade="80"/>
                <w:sz w:val="24"/>
                <w:szCs w:val="24"/>
              </w:rPr>
              <w:t xml:space="preserve"> on EU </w:t>
            </w:r>
            <w:proofErr w:type="spellStart"/>
            <w:r w:rsidRPr="006A46D0">
              <w:rPr>
                <w:rFonts w:asciiTheme="majorHAnsi" w:eastAsia="Trebuchet MS" w:hAnsiTheme="majorHAnsi" w:cstheme="majorHAnsi"/>
                <w:i/>
                <w:color w:val="808080" w:themeColor="background1" w:themeShade="80"/>
                <w:sz w:val="24"/>
                <w:szCs w:val="24"/>
              </w:rPr>
              <w:t>action</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plans</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and</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describes</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how</w:t>
            </w:r>
            <w:proofErr w:type="spellEnd"/>
            <w:r w:rsidRPr="006A46D0">
              <w:rPr>
                <w:rFonts w:asciiTheme="majorHAnsi" w:eastAsia="Trebuchet MS" w:hAnsiTheme="majorHAnsi" w:cstheme="majorHAnsi"/>
                <w:i/>
                <w:color w:val="808080" w:themeColor="background1" w:themeShade="80"/>
                <w:sz w:val="24"/>
                <w:szCs w:val="24"/>
              </w:rPr>
              <w:t xml:space="preserve"> the Fund </w:t>
            </w:r>
            <w:proofErr w:type="spellStart"/>
            <w:r w:rsidRPr="006A46D0">
              <w:rPr>
                <w:rFonts w:asciiTheme="majorHAnsi" w:eastAsia="Trebuchet MS" w:hAnsiTheme="majorHAnsi" w:cstheme="majorHAnsi"/>
                <w:i/>
                <w:color w:val="808080" w:themeColor="background1" w:themeShade="80"/>
                <w:sz w:val="24"/>
                <w:szCs w:val="24"/>
              </w:rPr>
              <w:t>will</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support</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their</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development</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through</w:t>
            </w:r>
            <w:proofErr w:type="spellEnd"/>
            <w:r w:rsidRPr="006A46D0">
              <w:rPr>
                <w:rFonts w:asciiTheme="majorHAnsi" w:eastAsia="Trebuchet MS" w:hAnsiTheme="majorHAnsi" w:cstheme="majorHAnsi"/>
                <w:i/>
                <w:color w:val="808080" w:themeColor="background1" w:themeShade="80"/>
                <w:sz w:val="24"/>
                <w:szCs w:val="24"/>
              </w:rPr>
              <w:t xml:space="preserve"> the </w:t>
            </w:r>
            <w:proofErr w:type="spellStart"/>
            <w:r w:rsidRPr="006A46D0">
              <w:rPr>
                <w:rFonts w:asciiTheme="majorHAnsi" w:eastAsia="Trebuchet MS" w:hAnsiTheme="majorHAnsi" w:cstheme="majorHAnsi"/>
                <w:i/>
                <w:color w:val="808080" w:themeColor="background1" w:themeShade="80"/>
                <w:sz w:val="24"/>
                <w:szCs w:val="24"/>
              </w:rPr>
              <w:t>programming</w:t>
            </w:r>
            <w:proofErr w:type="spellEnd"/>
            <w:r w:rsidRPr="006A46D0">
              <w:rPr>
                <w:rFonts w:asciiTheme="majorHAnsi" w:eastAsia="Trebuchet MS" w:hAnsiTheme="majorHAnsi" w:cstheme="majorHAnsi"/>
                <w:i/>
                <w:color w:val="808080" w:themeColor="background1" w:themeShade="80"/>
                <w:sz w:val="24"/>
                <w:szCs w:val="24"/>
              </w:rPr>
              <w:t xml:space="preserve"> period.  Text </w:t>
            </w:r>
            <w:proofErr w:type="spellStart"/>
            <w:r w:rsidRPr="006A46D0">
              <w:rPr>
                <w:rFonts w:asciiTheme="majorHAnsi" w:eastAsia="Trebuchet MS" w:hAnsiTheme="majorHAnsi" w:cstheme="majorHAnsi"/>
                <w:i/>
                <w:color w:val="808080" w:themeColor="background1" w:themeShade="80"/>
                <w:sz w:val="24"/>
                <w:szCs w:val="24"/>
              </w:rPr>
              <w:t>field</w:t>
            </w:r>
            <w:proofErr w:type="spellEnd"/>
            <w:r w:rsidRPr="006A46D0">
              <w:rPr>
                <w:rFonts w:asciiTheme="majorHAnsi" w:eastAsia="Trebuchet MS" w:hAnsiTheme="majorHAnsi" w:cstheme="majorHAnsi"/>
                <w:i/>
                <w:color w:val="808080" w:themeColor="background1" w:themeShade="80"/>
                <w:sz w:val="24"/>
                <w:szCs w:val="24"/>
              </w:rPr>
              <w:t xml:space="preserve"> [15 000]</w:t>
            </w:r>
          </w:p>
        </w:tc>
      </w:tr>
    </w:tbl>
    <w:p w14:paraId="1E72A918" w14:textId="77777777" w:rsidR="00612B49" w:rsidRPr="006A46D0" w:rsidRDefault="00612B49" w:rsidP="006A46D0">
      <w:pPr>
        <w:spacing w:after="120" w:line="240" w:lineRule="auto"/>
        <w:ind w:right="500"/>
        <w:jc w:val="both"/>
        <w:rPr>
          <w:rFonts w:asciiTheme="majorHAnsi" w:eastAsia="Arial Narrow" w:hAnsiTheme="majorHAnsi" w:cstheme="majorHAnsi"/>
          <w:sz w:val="24"/>
          <w:szCs w:val="24"/>
        </w:rPr>
      </w:pPr>
    </w:p>
    <w:p w14:paraId="2FCDD323" w14:textId="77777777" w:rsidR="00612B49" w:rsidRPr="006A46D0" w:rsidRDefault="006A46D0" w:rsidP="006A46D0">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Programul va aborda principalele provocări și domenii de acțiune identificate pe baza următoarelor documente strategice naționale și europene:</w:t>
      </w:r>
    </w:p>
    <w:p w14:paraId="0629C241" w14:textId="77777777" w:rsidR="00612B49" w:rsidRPr="006A46D0" w:rsidRDefault="006A46D0" w:rsidP="006A46D0">
      <w:pPr>
        <w:numPr>
          <w:ilvl w:val="0"/>
          <w:numId w:val="5"/>
        </w:numPr>
        <w:spacing w:after="120" w:line="240" w:lineRule="auto"/>
        <w:ind w:right="-1"/>
        <w:jc w:val="both"/>
        <w:rPr>
          <w:rFonts w:asciiTheme="majorHAnsi" w:eastAsia="Arial Narrow" w:hAnsiTheme="majorHAnsi" w:cstheme="majorHAnsi"/>
          <w:b/>
          <w:sz w:val="24"/>
          <w:szCs w:val="24"/>
        </w:rPr>
      </w:pPr>
      <w:r w:rsidRPr="006A46D0">
        <w:rPr>
          <w:rFonts w:asciiTheme="majorHAnsi" w:eastAsia="Arial Narrow" w:hAnsiTheme="majorHAnsi" w:cstheme="majorHAnsi"/>
          <w:b/>
          <w:sz w:val="24"/>
          <w:szCs w:val="24"/>
        </w:rPr>
        <w:t>Strategia Națională de Apărare a Țării pentru perioada 2020-2024</w:t>
      </w:r>
    </w:p>
    <w:p w14:paraId="0B0DF79B" w14:textId="77777777" w:rsidR="00612B49" w:rsidRPr="006A46D0" w:rsidRDefault="006A46D0" w:rsidP="006A46D0">
      <w:pPr>
        <w:numPr>
          <w:ilvl w:val="0"/>
          <w:numId w:val="5"/>
        </w:numPr>
        <w:spacing w:after="120" w:line="240" w:lineRule="auto"/>
        <w:ind w:right="-1"/>
        <w:jc w:val="both"/>
        <w:rPr>
          <w:rFonts w:asciiTheme="majorHAnsi" w:eastAsia="Arial Narrow" w:hAnsiTheme="majorHAnsi" w:cstheme="majorHAnsi"/>
          <w:b/>
          <w:sz w:val="24"/>
          <w:szCs w:val="24"/>
        </w:rPr>
      </w:pPr>
      <w:r w:rsidRPr="006A46D0">
        <w:rPr>
          <w:rFonts w:asciiTheme="majorHAnsi" w:eastAsia="Arial Narrow" w:hAnsiTheme="majorHAnsi" w:cstheme="majorHAnsi"/>
          <w:b/>
          <w:sz w:val="24"/>
          <w:szCs w:val="24"/>
        </w:rPr>
        <w:t>Strategia Națională de Management Integrat al Frontierei de Stat a României în perioada 2019-2027 (draft)</w:t>
      </w:r>
    </w:p>
    <w:p w14:paraId="31E0AD6E" w14:textId="77777777" w:rsidR="00612B49" w:rsidRPr="006A46D0" w:rsidRDefault="006A46D0" w:rsidP="006A46D0">
      <w:pPr>
        <w:numPr>
          <w:ilvl w:val="0"/>
          <w:numId w:val="5"/>
        </w:numPr>
        <w:spacing w:after="120" w:line="240" w:lineRule="auto"/>
        <w:ind w:right="-1"/>
        <w:jc w:val="both"/>
        <w:rPr>
          <w:rFonts w:asciiTheme="majorHAnsi" w:eastAsia="Arial Narrow" w:hAnsiTheme="majorHAnsi" w:cstheme="majorHAnsi"/>
          <w:b/>
          <w:sz w:val="24"/>
          <w:szCs w:val="24"/>
        </w:rPr>
      </w:pPr>
      <w:r w:rsidRPr="006A46D0">
        <w:rPr>
          <w:rFonts w:asciiTheme="majorHAnsi" w:eastAsia="Arial Narrow" w:hAnsiTheme="majorHAnsi" w:cstheme="majorHAnsi"/>
          <w:b/>
          <w:sz w:val="24"/>
          <w:szCs w:val="24"/>
        </w:rPr>
        <w:t>MASTERPLAN pentru implementarea noii arhitecturi a sistemelor de informații pentru securitate și frontieră, în România</w:t>
      </w:r>
    </w:p>
    <w:p w14:paraId="136A30AD" w14:textId="77777777" w:rsidR="00612B49" w:rsidRPr="006A46D0" w:rsidRDefault="006A46D0" w:rsidP="006A46D0">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lastRenderedPageBreak/>
        <w:t xml:space="preserve">În domeniul </w:t>
      </w:r>
      <w:r w:rsidRPr="006A46D0">
        <w:rPr>
          <w:rFonts w:asciiTheme="majorHAnsi" w:eastAsia="Arial Narrow" w:hAnsiTheme="majorHAnsi" w:cstheme="majorHAnsi"/>
          <w:b/>
          <w:sz w:val="24"/>
          <w:szCs w:val="24"/>
          <w:u w:val="single"/>
        </w:rPr>
        <w:t>frontierelor</w:t>
      </w:r>
      <w:r w:rsidRPr="006A46D0">
        <w:rPr>
          <w:rFonts w:asciiTheme="majorHAnsi" w:eastAsia="Arial Narrow" w:hAnsiTheme="majorHAnsi" w:cstheme="majorHAnsi"/>
          <w:sz w:val="24"/>
          <w:szCs w:val="24"/>
        </w:rPr>
        <w:t xml:space="preserve">, Programul Național va contribui la următoarele domenii de acțiune menționate în cadrul </w:t>
      </w:r>
      <w:r w:rsidRPr="006A46D0">
        <w:rPr>
          <w:rFonts w:asciiTheme="majorHAnsi" w:eastAsia="Arial Narrow" w:hAnsiTheme="majorHAnsi" w:cstheme="majorHAnsi"/>
          <w:b/>
          <w:sz w:val="24"/>
          <w:szCs w:val="24"/>
        </w:rPr>
        <w:t>Strategiei Naționale de Apărare a Țării pentru perioada 2020-2024</w:t>
      </w:r>
      <w:r w:rsidRPr="006A46D0">
        <w:rPr>
          <w:rFonts w:asciiTheme="majorHAnsi" w:eastAsia="Arial Narrow" w:hAnsiTheme="majorHAnsi" w:cstheme="majorHAnsi"/>
          <w:sz w:val="24"/>
          <w:szCs w:val="24"/>
        </w:rPr>
        <w:t xml:space="preserve">, </w:t>
      </w:r>
    </w:p>
    <w:p w14:paraId="6BDA1CE9" w14:textId="77777777" w:rsidR="00612B49" w:rsidRPr="006A46D0" w:rsidRDefault="006A46D0" w:rsidP="006A46D0">
      <w:pPr>
        <w:numPr>
          <w:ilvl w:val="0"/>
          <w:numId w:val="3"/>
        </w:num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Dezvoltarea cooperării internaționale atât în formatele de cooperare regională (Convenția de cooperare polițienească din Europa de Sud-Est, Asociația Șefilor de Poliție din Europa de Sud-Est), cât și în cele din cadrul Uniunii Europene (Oficiul European de Poliție - EUROPOL, Agenția Europeană a Poliției de Frontieră și Gărzii de Coastă - FRONTEX), în vederea combaterii criminalității organizate transnaționale;</w:t>
      </w:r>
    </w:p>
    <w:p w14:paraId="2993FC19" w14:textId="77777777" w:rsidR="00612B49" w:rsidRPr="006A46D0" w:rsidRDefault="006A46D0" w:rsidP="006A46D0">
      <w:pPr>
        <w:numPr>
          <w:ilvl w:val="0"/>
          <w:numId w:val="3"/>
        </w:num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Securizarea frontierei, în special a celei care este frontiera externă a Uniunii Europene, în vederea combaterii migrației ilegale, traficului de persoane, contrabandei cu produse accizabile sau contrafăcute și a altor riscuri cu impact asupra securității naționale;</w:t>
      </w:r>
    </w:p>
    <w:p w14:paraId="2D3B22D3" w14:textId="77777777" w:rsidR="00612B49" w:rsidRPr="006A46D0" w:rsidRDefault="006A46D0" w:rsidP="006A46D0">
      <w:pPr>
        <w:numPr>
          <w:ilvl w:val="0"/>
          <w:numId w:val="3"/>
        </w:num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Identificarea și semnalarea vulnerabilităților și factorilor de risc în securizarea frontierei de stat, în special a celei care reprezintă frontiera externă a Uniunii Europene, în vederea prevenirii și combaterii migrației ilegale, traficului de persoane și bunuri și a altor riscuri cu impact asupra securității naționale. </w:t>
      </w:r>
    </w:p>
    <w:p w14:paraId="1BE7313C" w14:textId="77777777" w:rsidR="00612B49" w:rsidRPr="006A46D0" w:rsidRDefault="006A46D0" w:rsidP="006A46D0">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b/>
          <w:sz w:val="24"/>
          <w:szCs w:val="24"/>
        </w:rPr>
        <w:t>Strategia Națională de Management Integrat al Frontierei de Stat a României în perioada 2019-2027 (draft)</w:t>
      </w:r>
      <w:r w:rsidRPr="006A46D0">
        <w:rPr>
          <w:rFonts w:asciiTheme="majorHAnsi" w:eastAsia="Arial Narrow" w:hAnsiTheme="majorHAnsi" w:cstheme="majorHAnsi"/>
          <w:sz w:val="24"/>
          <w:szCs w:val="24"/>
        </w:rPr>
        <w:t xml:space="preserve"> prevede ca și obiective asigurarea și menținerea unui nivel înalt de supraveghere și control la frontieră, precum și utilizarea tehnologiei de ultimă generație, inclusiv sisteme informaționale la scară largă.</w:t>
      </w:r>
    </w:p>
    <w:p w14:paraId="5360D909" w14:textId="77777777" w:rsidR="00612B49" w:rsidRPr="006A46D0" w:rsidRDefault="006A46D0" w:rsidP="006A46D0">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Obiectivele Strategiei naționale sunt în acord cu prevederile Catalogului Schengen reunind următoarele dimensiuni: controlul și supravegherea frontierelor, inclusiv analiza de risc, depistarea și investigarea criminalității transfrontaliere prin cooperarea tuturor autorităților de aplicare a legii, modelul celor patru filtre (măsurile în țările terțe, cooperarea cu țările învecinate, controlul la frontiere, măsurile de control în spațiul de liberă circulație, inclusiv returnarea, cooperarea dintre agenții pentru realizarea managementului  integrat al frontierelor și cooperarea internațională, coordonarea și coerența activităților statelor membre  UE,  ale instituțiilor și ale altor organisme ale UE. </w:t>
      </w:r>
    </w:p>
    <w:p w14:paraId="4573221C" w14:textId="77777777" w:rsidR="00612B49" w:rsidRPr="006A46D0" w:rsidRDefault="006A46D0" w:rsidP="006A46D0">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Potrivit Raportului privind analiza riscurilor pentru 2018 realizată de FRONTEX, deși la frontiera terestră externă estică situația poate fi evaluată în prezent drept calmă în comparație ruta </w:t>
      </w:r>
      <w:proofErr w:type="spellStart"/>
      <w:r w:rsidRPr="006A46D0">
        <w:rPr>
          <w:rFonts w:asciiTheme="majorHAnsi" w:eastAsia="Arial Narrow" w:hAnsiTheme="majorHAnsi" w:cstheme="majorHAnsi"/>
          <w:sz w:val="24"/>
          <w:szCs w:val="24"/>
        </w:rPr>
        <w:t>mediteraneană</w:t>
      </w:r>
      <w:proofErr w:type="spellEnd"/>
      <w:r w:rsidRPr="006A46D0">
        <w:rPr>
          <w:rFonts w:asciiTheme="majorHAnsi" w:eastAsia="Arial Narrow" w:hAnsiTheme="majorHAnsi" w:cstheme="majorHAnsi"/>
          <w:sz w:val="24"/>
          <w:szCs w:val="24"/>
        </w:rPr>
        <w:t xml:space="preserve"> vestică, situația frontalieră se poate schimba rapid din cauza evoluțiilor politice imprevizibile din țările învecinate, ca urmare, printre altele, a prezenței crescute a amenințărilor hibride.</w:t>
      </w:r>
    </w:p>
    <w:p w14:paraId="6CF05EF7" w14:textId="77777777" w:rsidR="00612B49" w:rsidRPr="006A46D0" w:rsidRDefault="006A46D0" w:rsidP="006A46D0">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România se confruntă cu o paletă variată a infracționalității la frontiera de stat, având în vedere poziția geostrategică la confluența dintre Orient și Occident, precum și statutul de stat membru cu drepturi depline în Organizația Tratatului Atlanticului de Nord și Uniunea Europeană.</w:t>
      </w:r>
    </w:p>
    <w:p w14:paraId="5C781EEB" w14:textId="77777777" w:rsidR="00612B49" w:rsidRPr="006A46D0" w:rsidRDefault="006A46D0" w:rsidP="006A46D0">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România acționează consecvent pentru implementarea progresivă a măsurilor necesare în vederea atingerii unui înalt nivel de securitate a frontierelor, cu un accent deosebit pentru viitoarele frontiere externe ale UE, prin implementarea conceptului de management integrat.</w:t>
      </w:r>
    </w:p>
    <w:p w14:paraId="49051E99" w14:textId="77777777" w:rsidR="00612B49" w:rsidRPr="006A46D0" w:rsidRDefault="006A46D0" w:rsidP="006A46D0">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Realizarea controlului frontierelor are la bază principiul solidarității, fiind nu numai în interesul statelor membre Schengen la ale căror frontiere externe se efectuează, cât și în interesul tuturor celorlalte state membre care au eliminat sau vor elimina controlul la frontierele lor interne. În această ordine de idei, România ca viitor stat membru Schengen, are în vedere luarea tuturor măsurilor necesare pentru asigurarea unui control eficient al frontierelor astfel încât să poată acoperi toate acțiunile ilegale care au impact asupra securității interne a statelor membre, a politicii publice și a relațiilor internaționale.</w:t>
      </w:r>
    </w:p>
    <w:p w14:paraId="6473B776" w14:textId="77777777" w:rsidR="00612B49" w:rsidRPr="006A46D0" w:rsidRDefault="006A46D0" w:rsidP="006A46D0">
      <w:pPr>
        <w:spacing w:after="120" w:line="240" w:lineRule="auto"/>
        <w:ind w:left="880" w:right="500" w:hanging="20"/>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 </w:t>
      </w:r>
    </w:p>
    <w:p w14:paraId="46520894" w14:textId="77777777" w:rsidR="00612B49" w:rsidRPr="006A46D0" w:rsidRDefault="006A46D0" w:rsidP="006A46D0">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Începând cu anul 2022, noi sisteme de informații de mare anvergură la nivel european, respectiv Sistemul de </w:t>
      </w:r>
      <w:proofErr w:type="spellStart"/>
      <w:r w:rsidRPr="006A46D0">
        <w:rPr>
          <w:rFonts w:asciiTheme="majorHAnsi" w:eastAsia="Arial Narrow" w:hAnsiTheme="majorHAnsi" w:cstheme="majorHAnsi"/>
          <w:sz w:val="24"/>
          <w:szCs w:val="24"/>
        </w:rPr>
        <w:t>Intrare/Ieșire</w:t>
      </w:r>
      <w:proofErr w:type="spellEnd"/>
      <w:r w:rsidRPr="006A46D0">
        <w:rPr>
          <w:rFonts w:asciiTheme="majorHAnsi" w:eastAsia="Arial Narrow" w:hAnsiTheme="majorHAnsi" w:cstheme="majorHAnsi"/>
          <w:sz w:val="24"/>
          <w:szCs w:val="24"/>
        </w:rPr>
        <w:t xml:space="preserve"> (EES), instituit prin Regulamentul nr. 2226/2017 și Sistemul european de </w:t>
      </w:r>
      <w:r w:rsidRPr="006A46D0">
        <w:rPr>
          <w:rFonts w:asciiTheme="majorHAnsi" w:eastAsia="Arial Narrow" w:hAnsiTheme="majorHAnsi" w:cstheme="majorHAnsi"/>
          <w:sz w:val="24"/>
          <w:szCs w:val="24"/>
        </w:rPr>
        <w:lastRenderedPageBreak/>
        <w:t>informații și de autorizare privind călătoriile (ETIAS), instituit prin Regulamentul nr. 1240/2018 vor fi operaționalizate.</w:t>
      </w:r>
    </w:p>
    <w:p w14:paraId="541FE005" w14:textId="77777777" w:rsidR="00612B49" w:rsidRPr="006A46D0" w:rsidRDefault="006A46D0" w:rsidP="006A46D0">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Implementarea EES/ETIAS va avea impact asupra sistemelor IT&amp;C centrale ale </w:t>
      </w:r>
      <w:proofErr w:type="spellStart"/>
      <w:r w:rsidRPr="006A46D0">
        <w:rPr>
          <w:rFonts w:asciiTheme="majorHAnsi" w:eastAsia="Arial Narrow" w:hAnsiTheme="majorHAnsi" w:cstheme="majorHAnsi"/>
          <w:sz w:val="24"/>
          <w:szCs w:val="24"/>
        </w:rPr>
        <w:t>autorităţilor</w:t>
      </w:r>
      <w:proofErr w:type="spellEnd"/>
      <w:r w:rsidRPr="006A46D0">
        <w:rPr>
          <w:rFonts w:asciiTheme="majorHAnsi" w:eastAsia="Arial Narrow" w:hAnsiTheme="majorHAnsi" w:cstheme="majorHAnsi"/>
          <w:sz w:val="24"/>
          <w:szCs w:val="24"/>
        </w:rPr>
        <w:t xml:space="preserve"> responsabile, care vor trebui adaptate şi </w:t>
      </w:r>
      <w:proofErr w:type="spellStart"/>
      <w:r w:rsidRPr="006A46D0">
        <w:rPr>
          <w:rFonts w:asciiTheme="majorHAnsi" w:eastAsia="Arial Narrow" w:hAnsiTheme="majorHAnsi" w:cstheme="majorHAnsi"/>
          <w:sz w:val="24"/>
          <w:szCs w:val="24"/>
        </w:rPr>
        <w:t>upgradate</w:t>
      </w:r>
      <w:proofErr w:type="spellEnd"/>
      <w:r w:rsidRPr="006A46D0">
        <w:rPr>
          <w:rFonts w:asciiTheme="majorHAnsi" w:eastAsia="Arial Narrow" w:hAnsiTheme="majorHAnsi" w:cstheme="majorHAnsi"/>
          <w:sz w:val="24"/>
          <w:szCs w:val="24"/>
        </w:rPr>
        <w:t xml:space="preserve">, asupra procedurilor de lucru, infrastructurii IT pentru controlul frontierelor, migraţie şi vize și a punctelor de trecere a frontierei. Capacitatea instituțională va trebui adaptată noilor condiții de operare, în special prin crearea Unității Naționale ETIAS și a punctului central de acces la EES și ETIAS, iar un număr considerabil de personal operativ va trebui pregătit corespunzător, inclusiv pentru a putea utiliza noile echipamente. Începând cu anul 2022, sistemul informatic al PFR va integra fluxurile de lucru aferente  Sistemului de </w:t>
      </w:r>
      <w:proofErr w:type="spellStart"/>
      <w:r w:rsidRPr="006A46D0">
        <w:rPr>
          <w:rFonts w:asciiTheme="majorHAnsi" w:eastAsia="Arial Narrow" w:hAnsiTheme="majorHAnsi" w:cstheme="majorHAnsi"/>
          <w:sz w:val="24"/>
          <w:szCs w:val="24"/>
        </w:rPr>
        <w:t>Intrare/Ieșire</w:t>
      </w:r>
      <w:proofErr w:type="spellEnd"/>
      <w:r w:rsidRPr="006A46D0">
        <w:rPr>
          <w:rFonts w:asciiTheme="majorHAnsi" w:eastAsia="Arial Narrow" w:hAnsiTheme="majorHAnsi" w:cstheme="majorHAnsi"/>
          <w:sz w:val="24"/>
          <w:szCs w:val="24"/>
        </w:rPr>
        <w:t xml:space="preserve"> (EES) , precum şi a Sistemului european de </w:t>
      </w:r>
      <w:proofErr w:type="spellStart"/>
      <w:r w:rsidRPr="006A46D0">
        <w:rPr>
          <w:rFonts w:asciiTheme="majorHAnsi" w:eastAsia="Arial Narrow" w:hAnsiTheme="majorHAnsi" w:cstheme="majorHAnsi"/>
          <w:sz w:val="24"/>
          <w:szCs w:val="24"/>
        </w:rPr>
        <w:t>informaţii</w:t>
      </w:r>
      <w:proofErr w:type="spellEnd"/>
      <w:r w:rsidRPr="006A46D0">
        <w:rPr>
          <w:rFonts w:asciiTheme="majorHAnsi" w:eastAsia="Arial Narrow" w:hAnsiTheme="majorHAnsi" w:cstheme="majorHAnsi"/>
          <w:sz w:val="24"/>
          <w:szCs w:val="24"/>
        </w:rPr>
        <w:t xml:space="preserve"> şi de autorizare privind călătoriile (ETIAS).</w:t>
      </w:r>
    </w:p>
    <w:p w14:paraId="65E1F9E1" w14:textId="77777777" w:rsidR="00612B49" w:rsidRPr="006A46D0" w:rsidRDefault="006A46D0" w:rsidP="006A46D0">
      <w:pPr>
        <w:spacing w:after="120" w:line="240" w:lineRule="auto"/>
        <w:ind w:left="880" w:right="-1" w:hanging="20"/>
        <w:jc w:val="both"/>
        <w:rPr>
          <w:rFonts w:asciiTheme="majorHAnsi" w:eastAsia="Arial Narrow" w:hAnsiTheme="majorHAnsi" w:cstheme="majorHAnsi"/>
          <w:color w:val="FF0000"/>
          <w:sz w:val="24"/>
          <w:szCs w:val="24"/>
        </w:rPr>
      </w:pPr>
      <w:r w:rsidRPr="006A46D0">
        <w:rPr>
          <w:rFonts w:asciiTheme="majorHAnsi" w:eastAsia="Arial Narrow" w:hAnsiTheme="majorHAnsi" w:cstheme="majorHAnsi"/>
          <w:color w:val="FF0000"/>
          <w:sz w:val="24"/>
          <w:szCs w:val="24"/>
        </w:rPr>
        <w:t xml:space="preserve"> </w:t>
      </w:r>
    </w:p>
    <w:p w14:paraId="293C1351" w14:textId="77777777" w:rsidR="00612B49" w:rsidRPr="006A46D0" w:rsidRDefault="006A46D0" w:rsidP="006A46D0">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În vederea îmbunătățirii conștientizării situației și a sporirii capacității de reacție în scopul gestionării frontierelor, inclusiv al detectării, prevenirii și combaterii imigrației ilegale și a criminalității transfrontaliere încă din anul 2013, România a implementat Sistemul European de Supraveghere a Frontierelor (</w:t>
      </w:r>
      <w:r w:rsidRPr="006A46D0">
        <w:rPr>
          <w:rFonts w:asciiTheme="majorHAnsi" w:eastAsia="Arial Narrow" w:hAnsiTheme="majorHAnsi" w:cstheme="majorHAnsi"/>
          <w:b/>
          <w:sz w:val="24"/>
          <w:szCs w:val="24"/>
        </w:rPr>
        <w:t>EUROSUR</w:t>
      </w:r>
      <w:r w:rsidRPr="006A46D0">
        <w:rPr>
          <w:rFonts w:asciiTheme="majorHAnsi" w:eastAsia="Arial Narrow" w:hAnsiTheme="majorHAnsi" w:cstheme="majorHAnsi"/>
          <w:sz w:val="24"/>
          <w:szCs w:val="24"/>
        </w:rPr>
        <w:t>), contribuind la crearea tabloului situațional european prin furnizarea atât a informațiilor obligatorii referitoare la supravegherea frontierei terestre și maritime, cât și a celor pe bază de voluntariat privind incidentele din punctele de trecere a frontierei. În cadrul Poliției de Frontieră Române, în baza competențelor la nivel național în ceea ce privește supravegherea frontierei, funcționează Centrul Național de Coordonare, ca punct unic de contact care cooperează și face schimb de date și informații cu centrele regionale și locale de coordonare, precum și cu celelalte centre naționale de coordonare ale statelor membre, precum și cu FRONTEX.</w:t>
      </w:r>
    </w:p>
    <w:p w14:paraId="00BDD775" w14:textId="77777777" w:rsidR="00612B49" w:rsidRPr="006A46D0" w:rsidRDefault="006A46D0" w:rsidP="006A46D0">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La nivel regional, corespunzător frontierei fiecărui stat vecin, respectiv Marea Neagră, sunt organizate 6 Centre Regionale de Coordonare, iar la nivelul fiecărui sector al poliției de frontieră/ grup de nave funcționează 82 de Centre Locale de Coordonare. O parte din atribuțiile Centrului Național de Coordonare sunt delegate centrelor regionale și locale, care  monitorizează  activitățile privind supravegherea frontierelor terestre şi maritime, cele din punctele de trecere a frontierei și supravegherea frontierelor aeriene, fiind în măsură să  transmită decizii operaționale, să asigure conștientizarea situației și capacitatea de reacție în zona lor de competență.</w:t>
      </w:r>
    </w:p>
    <w:p w14:paraId="0DFF4C7E" w14:textId="77777777" w:rsidR="00612B49" w:rsidRPr="006A46D0" w:rsidRDefault="006A46D0" w:rsidP="006A46D0">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Furnizarea de sprijin în procesul de luare a deciziilor la timp și în mod integral se realizează prin crearea unei imagini de ansamblu asupra situației de la frontierele externe. În acest sens, Nodul România, prin Centrul Național de Coordonare, introduce în EUROSUR informații rezultate din activitatea operativă desfășurată la frontiera României. CNC-ul colectează informațiile care privesc supravegherea și controlul trecerii frontierei de la structurile teritoriale. Raportarea incidentelor constatate în zona de competență se face în special prin intermediul Sistemului Informatic de Raportare a Evenimentelor, iar, pe baza informațiilor colectate, CNC-ul întocmește și actualizează tabloul situațional național și asigură contribuția la tabloul situațional european.</w:t>
      </w:r>
    </w:p>
    <w:p w14:paraId="16263EF7" w14:textId="77777777" w:rsidR="00612B49" w:rsidRPr="006A46D0" w:rsidRDefault="006A46D0" w:rsidP="006A46D0">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Totodată, în scopul conștientizării situației la frontierele externe, suplimentar valorificării datelor din tabloul situațional european, România utilizează ca instrument de supraveghere în activitatea operațională produsele furnizate de către Serviciile de Fuziune EUROSUR.</w:t>
      </w:r>
    </w:p>
    <w:p w14:paraId="40FC6644" w14:textId="6190FDC8" w:rsidR="00612B49" w:rsidRDefault="006A46D0" w:rsidP="006A46D0">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În ceea ce privește modificările aduse mandatului Agenției Europene pentru Poliția de Frontieră și Garda de Coastă (</w:t>
      </w:r>
      <w:r w:rsidRPr="006A46D0">
        <w:rPr>
          <w:rFonts w:asciiTheme="majorHAnsi" w:eastAsia="Arial Narrow" w:hAnsiTheme="majorHAnsi" w:cstheme="majorHAnsi"/>
          <w:b/>
          <w:sz w:val="24"/>
          <w:szCs w:val="24"/>
        </w:rPr>
        <w:t>EBCG 2.0</w:t>
      </w:r>
      <w:r w:rsidRPr="006A46D0">
        <w:rPr>
          <w:rFonts w:asciiTheme="majorHAnsi" w:eastAsia="Arial Narrow" w:hAnsiTheme="majorHAnsi" w:cstheme="majorHAnsi"/>
          <w:sz w:val="24"/>
          <w:szCs w:val="24"/>
        </w:rPr>
        <w:t xml:space="preserve">), acestea vizează rezolvarea deficiențelor și o abordare mai adecvată a nevoilor actuale în materie de securitate și migrație, prin instituirea unui corp permanent cu un personal de 10.000 până în 2027, prin sprijinirea procedurilor de returnare din SM, de ex. prin identificarea resortisanților ilegali provenind din țări terțe și prin asistarea autorităților naționale în </w:t>
      </w:r>
      <w:proofErr w:type="spellStart"/>
      <w:r w:rsidRPr="006A46D0">
        <w:rPr>
          <w:rFonts w:asciiTheme="majorHAnsi" w:eastAsia="Arial Narrow" w:hAnsiTheme="majorHAnsi" w:cstheme="majorHAnsi"/>
          <w:sz w:val="24"/>
          <w:szCs w:val="24"/>
        </w:rPr>
        <w:t>obţinerea</w:t>
      </w:r>
      <w:proofErr w:type="spellEnd"/>
      <w:r w:rsidRPr="006A46D0">
        <w:rPr>
          <w:rFonts w:asciiTheme="majorHAnsi" w:eastAsia="Arial Narrow" w:hAnsiTheme="majorHAnsi" w:cstheme="majorHAnsi"/>
          <w:sz w:val="24"/>
          <w:szCs w:val="24"/>
        </w:rPr>
        <w:t xml:space="preserve"> documentelor de călătorie, prin consolidarea cooperării cu BESA. Ca obiective pe termen mediu, România urmărește asigurarea prezenței personalului român în toate structurile actuale ale </w:t>
      </w:r>
      <w:proofErr w:type="spellStart"/>
      <w:r w:rsidRPr="006A46D0">
        <w:rPr>
          <w:rFonts w:asciiTheme="majorHAnsi" w:eastAsia="Arial Narrow" w:hAnsiTheme="majorHAnsi" w:cstheme="majorHAnsi"/>
          <w:sz w:val="24"/>
          <w:szCs w:val="24"/>
        </w:rPr>
        <w:t>Frontex</w:t>
      </w:r>
      <w:proofErr w:type="spellEnd"/>
      <w:r w:rsidRPr="006A46D0">
        <w:rPr>
          <w:rFonts w:asciiTheme="majorHAnsi" w:eastAsia="Arial Narrow" w:hAnsiTheme="majorHAnsi" w:cstheme="majorHAnsi"/>
          <w:sz w:val="24"/>
          <w:szCs w:val="24"/>
        </w:rPr>
        <w:t xml:space="preserve">. </w:t>
      </w:r>
    </w:p>
    <w:p w14:paraId="1264C53D" w14:textId="77777777" w:rsidR="00EA37BF" w:rsidRPr="00EA37BF" w:rsidRDefault="00EA37BF" w:rsidP="00EA37BF">
      <w:pPr>
        <w:jc w:val="center"/>
        <w:rPr>
          <w:rFonts w:asciiTheme="majorHAnsi" w:eastAsia="Arial Narrow" w:hAnsiTheme="majorHAnsi" w:cstheme="majorHAnsi"/>
          <w:sz w:val="24"/>
          <w:szCs w:val="24"/>
        </w:rPr>
      </w:pPr>
    </w:p>
    <w:p w14:paraId="2DEC0523" w14:textId="77777777" w:rsidR="00612B49" w:rsidRPr="006A46D0" w:rsidRDefault="006A46D0" w:rsidP="006A46D0">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lastRenderedPageBreak/>
        <w:t>Unitățile de analiză ale Poliției de Frontieră Române își desfășoară activitatea în conformitate cu Modelul Comun Integrat de Analiză a Riscului (</w:t>
      </w:r>
      <w:r w:rsidRPr="006A46D0">
        <w:rPr>
          <w:rFonts w:asciiTheme="majorHAnsi" w:eastAsia="Arial Narrow" w:hAnsiTheme="majorHAnsi" w:cstheme="majorHAnsi"/>
          <w:b/>
          <w:sz w:val="24"/>
          <w:szCs w:val="24"/>
        </w:rPr>
        <w:t>CIRAM 2.0</w:t>
      </w:r>
      <w:r w:rsidRPr="006A46D0">
        <w:rPr>
          <w:rFonts w:asciiTheme="majorHAnsi" w:eastAsia="Arial Narrow" w:hAnsiTheme="majorHAnsi" w:cstheme="majorHAnsi"/>
          <w:sz w:val="24"/>
          <w:szCs w:val="24"/>
        </w:rPr>
        <w:t xml:space="preserve">). </w:t>
      </w:r>
      <w:proofErr w:type="spellStart"/>
      <w:r w:rsidRPr="006A46D0">
        <w:rPr>
          <w:rFonts w:asciiTheme="majorHAnsi" w:eastAsia="Arial Narrow" w:hAnsiTheme="majorHAnsi" w:cstheme="majorHAnsi"/>
          <w:sz w:val="24"/>
          <w:szCs w:val="24"/>
        </w:rPr>
        <w:t>Unităţile</w:t>
      </w:r>
      <w:proofErr w:type="spellEnd"/>
      <w:r w:rsidRPr="006A46D0">
        <w:rPr>
          <w:rFonts w:asciiTheme="majorHAnsi" w:eastAsia="Arial Narrow" w:hAnsiTheme="majorHAnsi" w:cstheme="majorHAnsi"/>
          <w:sz w:val="24"/>
          <w:szCs w:val="24"/>
        </w:rPr>
        <w:t xml:space="preserve"> de analiză de risc au responsabilitatea de a transmite </w:t>
      </w:r>
      <w:proofErr w:type="spellStart"/>
      <w:r w:rsidRPr="006A46D0">
        <w:rPr>
          <w:rFonts w:asciiTheme="majorHAnsi" w:eastAsia="Arial Narrow" w:hAnsiTheme="majorHAnsi" w:cstheme="majorHAnsi"/>
          <w:sz w:val="24"/>
          <w:szCs w:val="24"/>
        </w:rPr>
        <w:t>informaţii</w:t>
      </w:r>
      <w:proofErr w:type="spellEnd"/>
      <w:r w:rsidRPr="006A46D0">
        <w:rPr>
          <w:rFonts w:asciiTheme="majorHAnsi" w:eastAsia="Arial Narrow" w:hAnsiTheme="majorHAnsi" w:cstheme="majorHAnsi"/>
          <w:sz w:val="24"/>
          <w:szCs w:val="24"/>
        </w:rPr>
        <w:t xml:space="preserve"> despre care se presupune că pot avea un impact în afara frontierelor Statelor Membre, atât către Agenția </w:t>
      </w:r>
      <w:proofErr w:type="spellStart"/>
      <w:r w:rsidRPr="006A46D0">
        <w:rPr>
          <w:rFonts w:asciiTheme="majorHAnsi" w:eastAsia="Arial Narrow" w:hAnsiTheme="majorHAnsi" w:cstheme="majorHAnsi"/>
          <w:sz w:val="24"/>
          <w:szCs w:val="24"/>
        </w:rPr>
        <w:t>Frontex</w:t>
      </w:r>
      <w:proofErr w:type="spellEnd"/>
      <w:r w:rsidRPr="006A46D0">
        <w:rPr>
          <w:rFonts w:asciiTheme="majorHAnsi" w:eastAsia="Arial Narrow" w:hAnsiTheme="majorHAnsi" w:cstheme="majorHAnsi"/>
          <w:sz w:val="24"/>
          <w:szCs w:val="24"/>
        </w:rPr>
        <w:t>, cât şi către alte state membre. În acest sens, cooperarea internațională în domeniul analizei de risc este indispensabilă pentru gestionarea eficace a frontierelor externe.</w:t>
      </w:r>
    </w:p>
    <w:p w14:paraId="175229CD" w14:textId="77777777" w:rsidR="00612B49" w:rsidRPr="006A46D0" w:rsidRDefault="006A46D0" w:rsidP="006A46D0">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Conform Agendei digitale pentru Europa 2020 (pilonul 2), îmbunătățirea schimbului de informații și interoperabilității bazelor de date și a sistemelor de informații constituie una dintre principalele măsuri adoptate la nivel european, cu rolul de a spori capacitatea colectivă în materie de securitate, prin eliminarea deficiențelor operaționale și a lipsei de informații. Totodată, noul pachet legislativ al interoperabilității și dezvoltarea la scară largă stipulează facilitatea adusă statelor membre pentru prevenire, depistarea și investigarea infracțiunilor de terorism sau a altor infracțiuni grave.</w:t>
      </w:r>
    </w:p>
    <w:p w14:paraId="7CF910EB" w14:textId="76A08BC8" w:rsidR="00612B49" w:rsidRPr="006A46D0" w:rsidRDefault="006A46D0" w:rsidP="006A46D0">
      <w:pPr>
        <w:spacing w:after="120" w:line="240" w:lineRule="auto"/>
        <w:ind w:right="-1"/>
        <w:jc w:val="both"/>
        <w:rPr>
          <w:rFonts w:asciiTheme="majorHAnsi" w:eastAsia="Arial Narrow" w:hAnsiTheme="majorHAnsi" w:cstheme="majorHAnsi"/>
          <w:sz w:val="24"/>
          <w:szCs w:val="24"/>
        </w:rPr>
      </w:pPr>
      <w:r w:rsidRPr="006A46D0">
        <w:rPr>
          <w:rFonts w:asciiTheme="majorHAnsi" w:eastAsia="Arial" w:hAnsiTheme="majorHAnsi" w:cstheme="majorHAnsi"/>
          <w:sz w:val="24"/>
          <w:szCs w:val="24"/>
        </w:rPr>
        <w:t>Sistemul de informații Schengen (</w:t>
      </w:r>
      <w:r w:rsidRPr="006A46D0">
        <w:rPr>
          <w:rFonts w:asciiTheme="majorHAnsi" w:eastAsia="Arial Narrow" w:hAnsiTheme="majorHAnsi" w:cstheme="majorHAnsi"/>
          <w:b/>
          <w:sz w:val="24"/>
          <w:szCs w:val="24"/>
        </w:rPr>
        <w:t>SIS</w:t>
      </w:r>
      <w:r w:rsidRPr="006A46D0">
        <w:rPr>
          <w:rFonts w:asciiTheme="majorHAnsi" w:eastAsia="Arial Narrow" w:hAnsiTheme="majorHAnsi" w:cstheme="majorHAnsi"/>
          <w:sz w:val="24"/>
          <w:szCs w:val="24"/>
        </w:rPr>
        <w:t xml:space="preserve">) este cel mai utilizat și cel mai mare sistem de schimb de informații pentru securitate și gestionarea frontierelor din Europa. SIS permite autorităților naționale competente, cum ar fi poliția și polițiștii de frontieră, să introducă și să consulte alerte cu privire la persoane sau obiecte. O alertă SIS nu conține doar informații despre o anumită persoană sau obiect, ci și instrucțiuni pentru autorități cu privire la ce trebuie să facă atunci când persoana sau obiectul a fost găsit. Birourile naționale specializate </w:t>
      </w:r>
      <w:r w:rsidRPr="006A46D0">
        <w:rPr>
          <w:rFonts w:asciiTheme="majorHAnsi" w:eastAsia="Arial Narrow" w:hAnsiTheme="majorHAnsi" w:cstheme="majorHAnsi"/>
          <w:b/>
          <w:sz w:val="24"/>
          <w:szCs w:val="24"/>
        </w:rPr>
        <w:t>SIRENE</w:t>
      </w:r>
      <w:r w:rsidRPr="006A46D0">
        <w:rPr>
          <w:rFonts w:asciiTheme="majorHAnsi" w:eastAsia="Arial Narrow" w:hAnsiTheme="majorHAnsi" w:cstheme="majorHAnsi"/>
          <w:sz w:val="24"/>
          <w:szCs w:val="24"/>
        </w:rPr>
        <w:t xml:space="preserve"> situate în fiecare stat membru servesc drept puncte de contact unice pentru schimbul de informații suplimentare și coordonarea activităților legate de alertele SIS. La sfârșitul anului 2017, SIS conținea aproximativ 76,5 milioane de înregistrări, a fost accesat de 5,2 miliarde de ori și a asigurat 243 818 accesări (atunci când o căutare duce la o alertă și autoritățile o confirmă).</w:t>
      </w:r>
    </w:p>
    <w:p w14:paraId="118522E1" w14:textId="77777777" w:rsidR="00612B49" w:rsidRPr="006A46D0" w:rsidRDefault="006A46D0" w:rsidP="006A46D0">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În noiembrie 2018, au fost aprobate Regulamentul (UE) 2018/1860, Regulamentul (UE) 2018/1861 și Regulamentul (UE) 2018/1862. Aceste Reglementări au intrat în vigoare la 28 decembrie 2019 și vor fi complet operaționale începând cu decembrie 2021. Noile funcționalități din SIS sunt implementate în diferite etape, cu o cerință pentru ca lucrările să fie finalizate până în 2021. Deși România nu face încă parte din zona fără controale la frontierele interne („spațiul Schengen”), din august 2018, România a început să utilizeze SIS complet.</w:t>
      </w:r>
    </w:p>
    <w:p w14:paraId="4761AD11" w14:textId="77777777" w:rsidR="00612B49" w:rsidRPr="006A46D0" w:rsidRDefault="006A46D0" w:rsidP="006A46D0">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De la sfârșitul anului 2020 autoritățile naționale cu drept de acces la SIS competente să efectueze căutări pe bază de amprente vor pregăti sistemele proprii, vor achiziționa echipamente și vor pregăti personalul operativ pentru noile prevederi aduse de Regulamentele SIS </w:t>
      </w:r>
      <w:proofErr w:type="spellStart"/>
      <w:r w:rsidRPr="006A46D0">
        <w:rPr>
          <w:rFonts w:asciiTheme="majorHAnsi" w:eastAsia="Arial Narrow" w:hAnsiTheme="majorHAnsi" w:cstheme="majorHAnsi"/>
          <w:sz w:val="24"/>
          <w:szCs w:val="24"/>
        </w:rPr>
        <w:t>recast</w:t>
      </w:r>
      <w:proofErr w:type="spellEnd"/>
      <w:r w:rsidRPr="006A46D0">
        <w:rPr>
          <w:rFonts w:asciiTheme="majorHAnsi" w:eastAsia="Arial Narrow" w:hAnsiTheme="majorHAnsi" w:cstheme="majorHAnsi"/>
          <w:sz w:val="24"/>
          <w:szCs w:val="24"/>
        </w:rPr>
        <w:t>.</w:t>
      </w:r>
    </w:p>
    <w:p w14:paraId="09394A8F" w14:textId="77777777" w:rsidR="00612B49" w:rsidRPr="006A46D0" w:rsidRDefault="006A46D0" w:rsidP="006A46D0">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În perspectiva implementării interoperabilității dintre sistemele de informații europene, cu termen 2024, schimbările în procedurile și fluxurile de lucru vor continua, pentru implementarea legislației europene în domeniu, iar utilizarea în comun a informațiilor din bazele de date va aduce un plus de eficiență activității autorităților naționale.</w:t>
      </w:r>
    </w:p>
    <w:p w14:paraId="45A4AE2D" w14:textId="77777777" w:rsidR="00612B49" w:rsidRPr="006A46D0" w:rsidRDefault="006A46D0" w:rsidP="006A46D0">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România își propune să continue acțiunile privind implementarea acquis-ului Schengen, în special  cele referitoare la dezvoltarea managementului integrat al frontierei, fiind conștientă de rolul important pe care îl are, atât în ceea ce privește asigurarea unui înalt nivel de supraveghere și control al frontierelor externe ale Uniunii Europene, cât și pentru menținerea poziției de partener credibil al statelor membre în protejarea securității interne a spațiului european.</w:t>
      </w:r>
    </w:p>
    <w:p w14:paraId="6FAFCBA8" w14:textId="77777777" w:rsidR="00612B49" w:rsidRPr="006A46D0" w:rsidRDefault="006A46D0" w:rsidP="006A46D0">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Pentru </w:t>
      </w:r>
      <w:r w:rsidRPr="006A46D0">
        <w:rPr>
          <w:rFonts w:asciiTheme="majorHAnsi" w:eastAsia="Arial" w:hAnsiTheme="majorHAnsi" w:cstheme="majorHAnsi"/>
          <w:b/>
          <w:sz w:val="24"/>
          <w:szCs w:val="24"/>
        </w:rPr>
        <w:t>aducerea la îndeplinire a obiectivelor strategice naționale</w:t>
      </w:r>
      <w:r w:rsidRPr="006A46D0">
        <w:rPr>
          <w:rFonts w:asciiTheme="majorHAnsi" w:eastAsia="Arial Narrow" w:hAnsiTheme="majorHAnsi" w:cstheme="majorHAnsi"/>
          <w:sz w:val="24"/>
          <w:szCs w:val="24"/>
        </w:rPr>
        <w:t xml:space="preserve"> prezentate mai sus, RO își propune introducerea unor tehnologii moderne, la nivelul standardelor europene, consolidarea capacităților de prevenire și combatere a migrației ilegale și a criminalității transfrontaliere, dezvoltarea contribuției în cadrul inițiativelor de cooperare locale, regionale și internaționale, pregătirea personalului instituțiilor implicate în managementul integrat al frontierelor/ vizelor. </w:t>
      </w:r>
    </w:p>
    <w:p w14:paraId="107957B4" w14:textId="77777777" w:rsidR="00612B49" w:rsidRPr="006A46D0" w:rsidRDefault="006A46D0" w:rsidP="006A46D0">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De asemenea, pe </w:t>
      </w:r>
      <w:r w:rsidRPr="006A46D0">
        <w:rPr>
          <w:rFonts w:asciiTheme="majorHAnsi" w:eastAsia="Arial" w:hAnsiTheme="majorHAnsi" w:cstheme="majorHAnsi"/>
          <w:b/>
          <w:sz w:val="24"/>
          <w:szCs w:val="24"/>
        </w:rPr>
        <w:t>segmentul de supraveghere și controlul trecerii frontierei</w:t>
      </w:r>
      <w:r w:rsidRPr="006A46D0">
        <w:rPr>
          <w:rFonts w:asciiTheme="majorHAnsi" w:eastAsia="Arial Narrow" w:hAnsiTheme="majorHAnsi" w:cstheme="majorHAnsi"/>
          <w:sz w:val="24"/>
          <w:szCs w:val="24"/>
        </w:rPr>
        <w:t>, RO va întreprinde măsuri pentru implementarea prevederilor actelor normative care instituie arhitectura noilor sisteme de informații ale Uniunii Europene, respectiv sistemul de intrare/ieșire (</w:t>
      </w:r>
      <w:r w:rsidRPr="006A46D0">
        <w:rPr>
          <w:rFonts w:asciiTheme="majorHAnsi" w:eastAsia="Arial Narrow" w:hAnsiTheme="majorHAnsi" w:cstheme="majorHAnsi"/>
          <w:b/>
          <w:sz w:val="24"/>
          <w:szCs w:val="24"/>
        </w:rPr>
        <w:t>EES</w:t>
      </w:r>
      <w:r w:rsidRPr="006A46D0">
        <w:rPr>
          <w:rFonts w:asciiTheme="majorHAnsi" w:eastAsia="Arial Narrow" w:hAnsiTheme="majorHAnsi" w:cstheme="majorHAnsi"/>
          <w:sz w:val="24"/>
          <w:szCs w:val="24"/>
        </w:rPr>
        <w:t xml:space="preserve">), Sistemul </w:t>
      </w:r>
      <w:r w:rsidRPr="006A46D0">
        <w:rPr>
          <w:rFonts w:asciiTheme="majorHAnsi" w:eastAsia="Arial Narrow" w:hAnsiTheme="majorHAnsi" w:cstheme="majorHAnsi"/>
          <w:sz w:val="24"/>
          <w:szCs w:val="24"/>
        </w:rPr>
        <w:lastRenderedPageBreak/>
        <w:t>european de informații și de autorizare privind călătoriile (</w:t>
      </w:r>
      <w:r w:rsidRPr="006A46D0">
        <w:rPr>
          <w:rFonts w:asciiTheme="majorHAnsi" w:eastAsia="Arial Narrow" w:hAnsiTheme="majorHAnsi" w:cstheme="majorHAnsi"/>
          <w:b/>
          <w:sz w:val="24"/>
          <w:szCs w:val="24"/>
        </w:rPr>
        <w:t>ETIAS</w:t>
      </w:r>
      <w:r w:rsidRPr="006A46D0">
        <w:rPr>
          <w:rFonts w:asciiTheme="majorHAnsi" w:eastAsia="Arial" w:hAnsiTheme="majorHAnsi" w:cstheme="majorHAnsi"/>
          <w:sz w:val="24"/>
          <w:szCs w:val="24"/>
        </w:rPr>
        <w:t>), utilizarea Sistemului de informații Schengen (</w:t>
      </w:r>
      <w:r w:rsidRPr="006A46D0">
        <w:rPr>
          <w:rFonts w:asciiTheme="majorHAnsi" w:eastAsia="Arial Narrow" w:hAnsiTheme="majorHAnsi" w:cstheme="majorHAnsi"/>
          <w:b/>
          <w:sz w:val="24"/>
          <w:szCs w:val="24"/>
        </w:rPr>
        <w:t>SIS</w:t>
      </w:r>
      <w:r w:rsidRPr="006A46D0">
        <w:rPr>
          <w:rFonts w:asciiTheme="majorHAnsi" w:eastAsia="Arial Narrow" w:hAnsiTheme="majorHAnsi" w:cstheme="majorHAnsi"/>
          <w:sz w:val="24"/>
          <w:szCs w:val="24"/>
        </w:rPr>
        <w:t xml:space="preserve">) pentru returnarea resortisanților țărilor terțe aflați în situație de ședere ilegală, utilizarea SIS în domeniul verificărilor la frontiere, sistemul de informații privind vizele </w:t>
      </w:r>
      <w:r w:rsidRPr="006A46D0">
        <w:rPr>
          <w:rFonts w:asciiTheme="majorHAnsi" w:eastAsia="Arial Narrow" w:hAnsiTheme="majorHAnsi" w:cstheme="majorHAnsi"/>
          <w:b/>
          <w:sz w:val="24"/>
          <w:szCs w:val="24"/>
        </w:rPr>
        <w:t>(VIS</w:t>
      </w:r>
      <w:r w:rsidRPr="006A46D0">
        <w:rPr>
          <w:rFonts w:asciiTheme="majorHAnsi" w:eastAsia="Arial Narrow" w:hAnsiTheme="majorHAnsi" w:cstheme="majorHAnsi"/>
          <w:sz w:val="24"/>
          <w:szCs w:val="24"/>
        </w:rPr>
        <w:t xml:space="preserve">), dezvoltarea și modernizarea sistemelor informatice care colectează, stochează și procesează date </w:t>
      </w:r>
      <w:proofErr w:type="spellStart"/>
      <w:r w:rsidRPr="006A46D0">
        <w:rPr>
          <w:rFonts w:asciiTheme="majorHAnsi" w:eastAsia="Arial Narrow" w:hAnsiTheme="majorHAnsi" w:cstheme="majorHAnsi"/>
          <w:sz w:val="24"/>
          <w:szCs w:val="24"/>
        </w:rPr>
        <w:t>biometrice</w:t>
      </w:r>
      <w:proofErr w:type="spellEnd"/>
      <w:r w:rsidRPr="006A46D0">
        <w:rPr>
          <w:rFonts w:asciiTheme="majorHAnsi" w:eastAsia="Arial Narrow" w:hAnsiTheme="majorHAnsi" w:cstheme="majorHAnsi"/>
          <w:sz w:val="24"/>
          <w:szCs w:val="24"/>
        </w:rPr>
        <w:t xml:space="preserve"> (</w:t>
      </w:r>
      <w:r w:rsidRPr="006A46D0">
        <w:rPr>
          <w:rFonts w:asciiTheme="majorHAnsi" w:eastAsia="Arial Narrow" w:hAnsiTheme="majorHAnsi" w:cstheme="majorHAnsi"/>
          <w:b/>
          <w:sz w:val="24"/>
          <w:szCs w:val="24"/>
        </w:rPr>
        <w:t>AFIS</w:t>
      </w:r>
      <w:r w:rsidRPr="006A46D0">
        <w:rPr>
          <w:rFonts w:asciiTheme="majorHAnsi" w:eastAsia="Arial Narrow" w:hAnsiTheme="majorHAnsi" w:cstheme="majorHAnsi"/>
          <w:sz w:val="24"/>
          <w:szCs w:val="24"/>
        </w:rPr>
        <w:t xml:space="preserve">), instituirea unui cadru pentru interoperabilitatea dintre sistemele de informații ale UE în domeniul frontierelor și al vizelor, dezvoltarea platformelor informatice de analiză date și activități de formare și schimb de bune practici (Implementarea unui sistem de management al informațiilor). În ceea ce privește </w:t>
      </w:r>
      <w:r w:rsidRPr="006A46D0">
        <w:rPr>
          <w:rFonts w:asciiTheme="majorHAnsi" w:eastAsia="Arial Narrow" w:hAnsiTheme="majorHAnsi" w:cstheme="majorHAnsi"/>
          <w:b/>
          <w:sz w:val="24"/>
          <w:szCs w:val="24"/>
        </w:rPr>
        <w:t>EUROSUR</w:t>
      </w:r>
      <w:r w:rsidRPr="006A46D0">
        <w:rPr>
          <w:rFonts w:asciiTheme="majorHAnsi" w:eastAsia="Arial Narrow" w:hAnsiTheme="majorHAnsi" w:cstheme="majorHAnsi"/>
          <w:sz w:val="24"/>
          <w:szCs w:val="24"/>
        </w:rPr>
        <w:t xml:space="preserve">, având în vedere și prevederile regulamentului 2019/1896 privind EBGC 2.0, RO va continua extinderea rețelei de comunicații pentru a permite îmbunătățirea schimbului de informații sensibile neclasificate și de informații clasificate într-un mediu securizat și în timp aproape real cu centrul național de coordonare și pentru realizarea unei gestionări integrate eficace a frontierelor externe. </w:t>
      </w:r>
    </w:p>
    <w:p w14:paraId="1A265222" w14:textId="77777777" w:rsidR="00612B49" w:rsidRPr="006A46D0" w:rsidRDefault="006A46D0" w:rsidP="006A46D0">
      <w:pPr>
        <w:spacing w:after="120" w:line="240" w:lineRule="auto"/>
        <w:ind w:left="880" w:right="-1" w:hanging="20"/>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 </w:t>
      </w:r>
    </w:p>
    <w:p w14:paraId="4B29AF9A" w14:textId="77777777" w:rsidR="00612B49" w:rsidRPr="006A46D0" w:rsidRDefault="006A46D0" w:rsidP="006A46D0">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În </w:t>
      </w:r>
      <w:r w:rsidRPr="006A46D0">
        <w:rPr>
          <w:rFonts w:asciiTheme="majorHAnsi" w:eastAsia="Arial Narrow" w:hAnsiTheme="majorHAnsi" w:cstheme="majorHAnsi"/>
          <w:b/>
          <w:sz w:val="24"/>
          <w:szCs w:val="24"/>
          <w:u w:val="single"/>
        </w:rPr>
        <w:t>domeniul vizelor</w:t>
      </w:r>
      <w:r w:rsidRPr="006A46D0">
        <w:rPr>
          <w:rFonts w:asciiTheme="majorHAnsi" w:eastAsia="Arial Narrow" w:hAnsiTheme="majorHAnsi" w:cstheme="majorHAnsi"/>
          <w:sz w:val="24"/>
          <w:szCs w:val="24"/>
        </w:rPr>
        <w:t>, prin acțiunile finanțate prin Programul Național se urmărește îmbunătățirea punerii în aplicare a politicii comune în materie de vize, cooperarea la nivel consular precum și a constatărilor care au loc între autoritățile centrale responsabile în domeniul vizelor. Acestea vor fi aduse la îndeplinire de către Ministerul Afacerilor Externe în conformitate cu prevederile HG 16/2017.</w:t>
      </w:r>
    </w:p>
    <w:p w14:paraId="19428B34" w14:textId="77777777" w:rsidR="00612B49" w:rsidRPr="006A46D0" w:rsidRDefault="00612B49" w:rsidP="006A46D0">
      <w:pPr>
        <w:spacing w:after="120" w:line="240" w:lineRule="auto"/>
        <w:ind w:right="-1"/>
        <w:jc w:val="both"/>
        <w:rPr>
          <w:rFonts w:asciiTheme="majorHAnsi" w:eastAsia="Arial Narrow" w:hAnsiTheme="majorHAnsi" w:cstheme="majorHAnsi"/>
          <w:sz w:val="24"/>
          <w:szCs w:val="24"/>
        </w:rPr>
      </w:pPr>
    </w:p>
    <w:p w14:paraId="28E2FEB8" w14:textId="77777777" w:rsidR="00612B49" w:rsidRPr="006A46D0" w:rsidRDefault="006A46D0" w:rsidP="006A46D0">
      <w:pPr>
        <w:spacing w:after="120" w:line="240" w:lineRule="auto"/>
        <w:ind w:right="-1"/>
        <w:jc w:val="both"/>
        <w:rPr>
          <w:rFonts w:asciiTheme="majorHAnsi" w:eastAsia="Arial Narrow" w:hAnsiTheme="majorHAnsi" w:cstheme="majorHAnsi"/>
          <w:sz w:val="24"/>
          <w:szCs w:val="24"/>
        </w:rPr>
      </w:pPr>
      <w:r w:rsidRPr="006A46D0">
        <w:rPr>
          <w:rFonts w:asciiTheme="majorHAnsi" w:eastAsia="Arial" w:hAnsiTheme="majorHAnsi" w:cstheme="majorHAnsi"/>
          <w:sz w:val="24"/>
          <w:szCs w:val="24"/>
        </w:rPr>
        <w:t>Aplicarea Regulamentului European nr. 767/2008 al Parlamentului European și al Consiliului din 9 iulie 2008 privind Sistemul de informații privind vizele (</w:t>
      </w:r>
      <w:r w:rsidRPr="006A46D0">
        <w:rPr>
          <w:rFonts w:asciiTheme="majorHAnsi" w:eastAsia="Arial Narrow" w:hAnsiTheme="majorHAnsi" w:cstheme="majorHAnsi"/>
          <w:b/>
          <w:sz w:val="24"/>
          <w:szCs w:val="24"/>
        </w:rPr>
        <w:t>VIS</w:t>
      </w:r>
      <w:r w:rsidRPr="006A46D0">
        <w:rPr>
          <w:rFonts w:asciiTheme="majorHAnsi" w:eastAsia="Arial Narrow" w:hAnsiTheme="majorHAnsi" w:cstheme="majorHAnsi"/>
          <w:sz w:val="24"/>
          <w:szCs w:val="24"/>
        </w:rPr>
        <w:t xml:space="preserve">) și schimbul de date între statele membre cu privire la vizele de scurtă ședere (Regulamentul VIS), a condus la îmbunătățirea </w:t>
      </w:r>
      <w:r w:rsidRPr="006A46D0">
        <w:rPr>
          <w:rFonts w:asciiTheme="majorHAnsi" w:eastAsia="Arial Narrow" w:hAnsiTheme="majorHAnsi" w:cstheme="majorHAnsi"/>
          <w:b/>
          <w:sz w:val="24"/>
          <w:szCs w:val="24"/>
        </w:rPr>
        <w:t>politicii comune în materie de vize</w:t>
      </w:r>
      <w:r w:rsidRPr="006A46D0">
        <w:rPr>
          <w:rFonts w:asciiTheme="majorHAnsi" w:eastAsia="Arial Narrow" w:hAnsiTheme="majorHAnsi" w:cstheme="majorHAnsi"/>
          <w:sz w:val="24"/>
          <w:szCs w:val="24"/>
        </w:rPr>
        <w:t xml:space="preserve"> și a cooperării la nivel consular.</w:t>
      </w:r>
    </w:p>
    <w:p w14:paraId="27528E7F" w14:textId="77777777" w:rsidR="00612B49" w:rsidRPr="006A46D0" w:rsidRDefault="006A46D0" w:rsidP="006A46D0">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În vederea îndeplinirii tuturor condițiilor necesare eliberării de vize uniforme Schengen și a cooperării cu statele membre Schengen, cât și în scopul punerii în aplicare a tuturor prevederilor legislației comunitare europene în materie (Codului Comunitar de Vize, Regulamentului VIS), la nivelul Centrului Național de Vize din cadrul Departamentului Consular a fost operaționalizat Sistemul National de Informații privind Vizele (SNIV). Sistemul Național de Informații privind Vizele este compatibil cu sistemul european central de informații privind vizele, Central Visa Information System (C.VIS). Prin intermediul SNIV se derulează întreg procesul de preluare/eliberare a vizei române, acest sistem fiind pe deplin compatibil cu Sistemul Central privind Vizele la nivelul Uniunii Europene. România, prin intermediul sistemului SNIV, va trebui să realizeze testele de conectare și compatibilitate în regim </w:t>
      </w:r>
      <w:proofErr w:type="spellStart"/>
      <w:r w:rsidRPr="006A46D0">
        <w:rPr>
          <w:rFonts w:asciiTheme="majorHAnsi" w:eastAsia="Arial Narrow" w:hAnsiTheme="majorHAnsi" w:cstheme="majorHAnsi"/>
          <w:sz w:val="24"/>
          <w:szCs w:val="24"/>
        </w:rPr>
        <w:t>read-only</w:t>
      </w:r>
      <w:proofErr w:type="spellEnd"/>
      <w:r w:rsidRPr="006A46D0">
        <w:rPr>
          <w:rFonts w:asciiTheme="majorHAnsi" w:eastAsia="Arial Narrow" w:hAnsiTheme="majorHAnsi" w:cstheme="majorHAnsi"/>
          <w:sz w:val="24"/>
          <w:szCs w:val="24"/>
        </w:rPr>
        <w:t xml:space="preserve"> cu sistemul VIS Central și cu restul statelor membre, în contextul aplicării deciziilor Comisiei Europene. Accesul în regim </w:t>
      </w:r>
      <w:proofErr w:type="spellStart"/>
      <w:r w:rsidRPr="006A46D0">
        <w:rPr>
          <w:rFonts w:asciiTheme="majorHAnsi" w:eastAsia="Arial Narrow" w:hAnsiTheme="majorHAnsi" w:cstheme="majorHAnsi"/>
          <w:sz w:val="24"/>
          <w:szCs w:val="24"/>
        </w:rPr>
        <w:t>read-only</w:t>
      </w:r>
      <w:proofErr w:type="spellEnd"/>
      <w:r w:rsidRPr="006A46D0">
        <w:rPr>
          <w:rFonts w:asciiTheme="majorHAnsi" w:eastAsia="Arial Narrow" w:hAnsiTheme="majorHAnsi" w:cstheme="majorHAnsi"/>
          <w:sz w:val="24"/>
          <w:szCs w:val="24"/>
        </w:rPr>
        <w:t xml:space="preserve"> presupune dezvoltări noi care vor rula peste subsistemul de virtualizare a resurselor din SNIV, în sensul asigurării inter-operabilității sistemelor SNIV.</w:t>
      </w:r>
    </w:p>
    <w:p w14:paraId="253153B6" w14:textId="77777777" w:rsidR="00612B49" w:rsidRPr="006A46D0" w:rsidRDefault="00612B49" w:rsidP="006A46D0">
      <w:pPr>
        <w:spacing w:after="120" w:line="240" w:lineRule="auto"/>
        <w:ind w:right="-1"/>
        <w:jc w:val="both"/>
        <w:rPr>
          <w:rFonts w:asciiTheme="majorHAnsi" w:eastAsia="Arial Narrow" w:hAnsiTheme="majorHAnsi" w:cstheme="majorHAnsi"/>
          <w:sz w:val="24"/>
          <w:szCs w:val="24"/>
        </w:rPr>
      </w:pPr>
    </w:p>
    <w:p w14:paraId="70654215" w14:textId="77777777" w:rsidR="00612B49" w:rsidRPr="006A46D0" w:rsidRDefault="006A46D0" w:rsidP="006A46D0">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RO are ca scop să sprijine și să extindă capacitatea la nivel național, pentru a asigura aplicarea corectă a acquis-ului Uniunii în ceea ce privește vizele prin menținerea stabilității și capacității SNIV de a face față tuturor cerințelor și rigorilor pe care le implică aderarea României la Spațiul Schengen, dotarea corespunzătoare a oficiilor consulare și a structurilor din Centrala MAE cu atribuții în utilizarea și menținerea în funcțiune a SNIV, precum și necesitatea menținerii unui standard optim și de siguranță al modului de desfășurare a activității în materie de vize.</w:t>
      </w:r>
    </w:p>
    <w:p w14:paraId="77A51F14" w14:textId="77777777" w:rsidR="00612B49" w:rsidRPr="006A46D0" w:rsidRDefault="006A46D0" w:rsidP="006A46D0">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Astfel, în materie de cooperare consulară, pentru stabilirea unor practici comune de acțiune, la nivelul statelor membre este necesară desfășurarea de reuniuni consulare regionale, la care să participe personalul consular al statelor membre din zona respectivă, precum și reprezentanți cu atribuții specifice din statele terțe din zonă. În vederea asigurării unor servicii de calitate pentru solicitanții de vize, este necesar ca personalul cu atribuții din consulate să beneficieze de programe </w:t>
      </w:r>
      <w:r w:rsidRPr="006A46D0">
        <w:rPr>
          <w:rFonts w:asciiTheme="majorHAnsi" w:eastAsia="Arial Narrow" w:hAnsiTheme="majorHAnsi" w:cstheme="majorHAnsi"/>
          <w:sz w:val="24"/>
          <w:szCs w:val="24"/>
        </w:rPr>
        <w:lastRenderedPageBreak/>
        <w:t>permanente de instruire prin  implementarea unei politici instituționale prin care personalul cu atribuții din consulate să beneficieze de programe de instruire în mod permanent.</w:t>
      </w:r>
    </w:p>
    <w:p w14:paraId="14A6416C" w14:textId="77777777" w:rsidR="00612B49" w:rsidRPr="006A46D0" w:rsidRDefault="00612B49" w:rsidP="006A46D0">
      <w:pPr>
        <w:spacing w:after="120" w:line="240" w:lineRule="auto"/>
        <w:ind w:right="-1"/>
        <w:jc w:val="both"/>
        <w:rPr>
          <w:rFonts w:asciiTheme="majorHAnsi" w:eastAsia="Arial Narrow" w:hAnsiTheme="majorHAnsi" w:cstheme="majorHAnsi"/>
          <w:sz w:val="24"/>
          <w:szCs w:val="24"/>
        </w:rPr>
      </w:pPr>
    </w:p>
    <w:p w14:paraId="49288927" w14:textId="77777777" w:rsidR="00612B49" w:rsidRPr="006A46D0" w:rsidRDefault="006A46D0" w:rsidP="006A46D0">
      <w:pPr>
        <w:spacing w:after="120" w:line="240" w:lineRule="auto"/>
        <w:ind w:right="-1"/>
        <w:jc w:val="both"/>
        <w:rPr>
          <w:rFonts w:asciiTheme="majorHAnsi" w:hAnsiTheme="majorHAnsi" w:cstheme="majorHAnsi"/>
          <w:sz w:val="24"/>
          <w:szCs w:val="24"/>
        </w:rPr>
      </w:pPr>
      <w:r w:rsidRPr="006A46D0">
        <w:rPr>
          <w:rFonts w:asciiTheme="majorHAnsi" w:eastAsia="Arial Narrow" w:hAnsiTheme="majorHAnsi" w:cstheme="majorHAnsi"/>
          <w:sz w:val="24"/>
          <w:szCs w:val="24"/>
        </w:rPr>
        <w:t xml:space="preserve">Pentru funcționarea în condiții optime a sistemului SNIV se impune actualizarea și </w:t>
      </w:r>
      <w:proofErr w:type="spellStart"/>
      <w:r w:rsidRPr="006A46D0">
        <w:rPr>
          <w:rFonts w:asciiTheme="majorHAnsi" w:eastAsia="Arial Narrow" w:hAnsiTheme="majorHAnsi" w:cstheme="majorHAnsi"/>
          <w:sz w:val="24"/>
          <w:szCs w:val="24"/>
        </w:rPr>
        <w:t>upgradeul</w:t>
      </w:r>
      <w:proofErr w:type="spellEnd"/>
      <w:r w:rsidRPr="006A46D0">
        <w:rPr>
          <w:rFonts w:asciiTheme="majorHAnsi" w:eastAsia="Arial Narrow" w:hAnsiTheme="majorHAnsi" w:cstheme="majorHAnsi"/>
          <w:sz w:val="24"/>
          <w:szCs w:val="24"/>
        </w:rPr>
        <w:t xml:space="preserve"> echipamentelor/infrastructurii existente la cerințele tehnologice din acest moment în vederea asigurării îndeplinirii tuturor cerințelor funcționale, dar mai ales a celor de securitate cibernetică. În vederea furnizării de servicii eficace și adaptate nevoilor solicitanților de viză, în conformitate cu standardele, regulamentele și practicile uniforme ale UE, precum și asigurarea unui mediu de lucru sigur și eficient pentru personalul consular și pentru solicitanții de vize este necesară amenajarea/ reabilitarea oficiilor consulare, precum și upgrade-</w:t>
      </w:r>
      <w:proofErr w:type="spellStart"/>
      <w:r w:rsidRPr="006A46D0">
        <w:rPr>
          <w:rFonts w:asciiTheme="majorHAnsi" w:eastAsia="Arial Narrow" w:hAnsiTheme="majorHAnsi" w:cstheme="majorHAnsi"/>
          <w:sz w:val="24"/>
          <w:szCs w:val="24"/>
        </w:rPr>
        <w:t>ul</w:t>
      </w:r>
      <w:proofErr w:type="spellEnd"/>
      <w:r w:rsidRPr="006A46D0">
        <w:rPr>
          <w:rFonts w:asciiTheme="majorHAnsi" w:eastAsia="Arial Narrow" w:hAnsiTheme="majorHAnsi" w:cstheme="majorHAnsi"/>
          <w:sz w:val="24"/>
          <w:szCs w:val="24"/>
        </w:rPr>
        <w:t xml:space="preserve"> măsurilor de securitate în consulate.   </w:t>
      </w:r>
    </w:p>
    <w:p w14:paraId="33226A7F" w14:textId="77777777" w:rsidR="00612B49" w:rsidRPr="006A46D0" w:rsidRDefault="006A46D0" w:rsidP="006A46D0">
      <w:pPr>
        <w:spacing w:after="120" w:line="240" w:lineRule="auto"/>
        <w:ind w:right="-1"/>
        <w:jc w:val="both"/>
        <w:rPr>
          <w:rFonts w:asciiTheme="majorHAnsi" w:eastAsia="Arial Narrow" w:hAnsiTheme="majorHAnsi" w:cstheme="majorHAnsi"/>
          <w:sz w:val="24"/>
          <w:szCs w:val="24"/>
        </w:rPr>
      </w:pPr>
      <w:proofErr w:type="spellStart"/>
      <w:r w:rsidRPr="006A46D0">
        <w:rPr>
          <w:rFonts w:asciiTheme="majorHAnsi" w:eastAsia="Arial Narrow" w:hAnsiTheme="majorHAnsi" w:cstheme="majorHAnsi"/>
          <w:sz w:val="24"/>
          <w:szCs w:val="24"/>
        </w:rPr>
        <w:t>Sinergiile</w:t>
      </w:r>
      <w:proofErr w:type="spellEnd"/>
      <w:r w:rsidRPr="006A46D0">
        <w:rPr>
          <w:rFonts w:asciiTheme="majorHAnsi" w:eastAsia="Arial Narrow" w:hAnsiTheme="majorHAnsi" w:cstheme="majorHAnsi"/>
          <w:sz w:val="24"/>
          <w:szCs w:val="24"/>
        </w:rPr>
        <w:t xml:space="preserve"> dintre IMFV și celelalte programe de finanțare se vor asigura prin finanțarea din IMFV a operațiunilor maritime cu scopuri multiple când obiectivul principal este supravegherea frontierei, precum și prin completarea finanțărilor din IMFV cu intervenții din FEDR, prin programul </w:t>
      </w:r>
      <w:proofErr w:type="spellStart"/>
      <w:r w:rsidRPr="006A46D0">
        <w:rPr>
          <w:rFonts w:asciiTheme="majorHAnsi" w:eastAsia="Arial Narrow" w:hAnsiTheme="majorHAnsi" w:cstheme="majorHAnsi"/>
          <w:sz w:val="24"/>
          <w:szCs w:val="24"/>
        </w:rPr>
        <w:t>Interreg</w:t>
      </w:r>
      <w:proofErr w:type="spellEnd"/>
      <w:r w:rsidRPr="006A46D0">
        <w:rPr>
          <w:rFonts w:asciiTheme="majorHAnsi" w:eastAsia="Arial Narrow" w:hAnsiTheme="majorHAnsi" w:cstheme="majorHAnsi"/>
          <w:sz w:val="24"/>
          <w:szCs w:val="24"/>
        </w:rPr>
        <w:t>, în special prin sprijinirea acțiunilor în domeniul mobilității și gestionării trecerii la frontieră și gestionării migrației, și din FSE+, care ar putea susține activități care vizează dezvoltarea abilităților digitale ale polițiștilor de frontieră.</w:t>
      </w:r>
    </w:p>
    <w:p w14:paraId="4A5C4EFF" w14:textId="77777777" w:rsidR="00612B49" w:rsidRPr="006A46D0" w:rsidRDefault="00612B49" w:rsidP="006A46D0">
      <w:pPr>
        <w:spacing w:after="120" w:line="240" w:lineRule="auto"/>
        <w:rPr>
          <w:rFonts w:asciiTheme="majorHAnsi" w:hAnsiTheme="majorHAnsi" w:cstheme="majorHAnsi"/>
          <w:sz w:val="24"/>
          <w:szCs w:val="24"/>
        </w:rPr>
      </w:pPr>
    </w:p>
    <w:p w14:paraId="1B96B057" w14:textId="77777777" w:rsidR="000604FA" w:rsidRPr="004C0798" w:rsidRDefault="000604FA" w:rsidP="000604FA">
      <w:pPr>
        <w:spacing w:after="120" w:line="240" w:lineRule="auto"/>
        <w:rPr>
          <w:rFonts w:asciiTheme="majorHAnsi" w:hAnsiTheme="majorHAnsi" w:cstheme="majorHAnsi"/>
          <w:i/>
        </w:rPr>
      </w:pPr>
      <w:bookmarkStart w:id="2" w:name="_dn74nfvp6tfl" w:colFirst="0" w:colLast="0"/>
      <w:bookmarkStart w:id="3" w:name="_unvq8xsborck" w:colFirst="0" w:colLast="0"/>
      <w:bookmarkEnd w:id="2"/>
      <w:bookmarkEnd w:id="3"/>
    </w:p>
    <w:p w14:paraId="7EF7A7D5" w14:textId="47F3AAC0" w:rsidR="000604FA" w:rsidRPr="000604FA" w:rsidRDefault="000604FA" w:rsidP="000604FA">
      <w:pPr>
        <w:pStyle w:val="ListParagraph"/>
        <w:numPr>
          <w:ilvl w:val="0"/>
          <w:numId w:val="9"/>
        </w:numPr>
        <w:spacing w:after="120" w:line="240" w:lineRule="auto"/>
        <w:jc w:val="both"/>
        <w:rPr>
          <w:rFonts w:asciiTheme="majorHAnsi" w:hAnsiTheme="majorHAnsi" w:cstheme="majorHAnsi"/>
          <w:b/>
          <w:color w:val="FFFFFF" w:themeColor="background1"/>
          <w:sz w:val="28"/>
          <w:szCs w:val="28"/>
          <w:highlight w:val="darkBlue"/>
        </w:rPr>
      </w:pPr>
      <w:r w:rsidRPr="000604FA">
        <w:rPr>
          <w:rFonts w:asciiTheme="majorHAnsi" w:hAnsiTheme="majorHAnsi" w:cstheme="majorHAnsi"/>
          <w:b/>
          <w:color w:val="FFFFFF" w:themeColor="background1"/>
          <w:sz w:val="28"/>
          <w:szCs w:val="28"/>
          <w:highlight w:val="darkBlue"/>
        </w:rPr>
        <w:t xml:space="preserve">Specific </w:t>
      </w:r>
      <w:proofErr w:type="spellStart"/>
      <w:r w:rsidRPr="000604FA">
        <w:rPr>
          <w:rFonts w:asciiTheme="majorHAnsi" w:hAnsiTheme="majorHAnsi" w:cstheme="majorHAnsi"/>
          <w:b/>
          <w:color w:val="FFFFFF" w:themeColor="background1"/>
          <w:sz w:val="28"/>
          <w:szCs w:val="28"/>
          <w:highlight w:val="darkBlue"/>
        </w:rPr>
        <w:t>objectives</w:t>
      </w:r>
      <w:proofErr w:type="spellEnd"/>
      <w:r w:rsidRPr="000604FA">
        <w:rPr>
          <w:rFonts w:asciiTheme="majorHAnsi" w:hAnsiTheme="majorHAnsi" w:cstheme="majorHAnsi"/>
          <w:b/>
          <w:color w:val="FFFFFF" w:themeColor="background1"/>
          <w:sz w:val="28"/>
          <w:szCs w:val="28"/>
          <w:highlight w:val="darkBlue"/>
        </w:rPr>
        <w:t xml:space="preserve"> </w:t>
      </w:r>
    </w:p>
    <w:p w14:paraId="7DEE995A" w14:textId="77777777" w:rsidR="000604FA" w:rsidRPr="001463CC" w:rsidRDefault="000604FA" w:rsidP="000604FA">
      <w:pPr>
        <w:rPr>
          <w:rFonts w:asciiTheme="majorHAnsi" w:hAnsiTheme="majorHAnsi" w:cstheme="majorHAnsi"/>
          <w:bCs/>
          <w:i/>
          <w:iCs/>
          <w:sz w:val="24"/>
          <w:szCs w:val="24"/>
        </w:rPr>
      </w:pPr>
      <w:r w:rsidRPr="001463CC">
        <w:rPr>
          <w:rFonts w:asciiTheme="majorHAnsi" w:hAnsiTheme="majorHAnsi" w:cstheme="majorHAnsi"/>
          <w:bCs/>
          <w:i/>
          <w:iCs/>
          <w:sz w:val="24"/>
          <w:szCs w:val="24"/>
        </w:rPr>
        <w:t>(</w:t>
      </w:r>
      <w:proofErr w:type="spellStart"/>
      <w:r w:rsidRPr="001463CC">
        <w:rPr>
          <w:rFonts w:asciiTheme="majorHAnsi" w:hAnsiTheme="majorHAnsi" w:cstheme="majorHAnsi"/>
          <w:bCs/>
          <w:i/>
          <w:iCs/>
          <w:sz w:val="24"/>
          <w:szCs w:val="24"/>
        </w:rPr>
        <w:t>repeated</w:t>
      </w:r>
      <w:proofErr w:type="spellEnd"/>
      <w:r w:rsidRPr="001463CC">
        <w:rPr>
          <w:rFonts w:asciiTheme="majorHAnsi" w:hAnsiTheme="majorHAnsi" w:cstheme="majorHAnsi"/>
          <w:bCs/>
          <w:i/>
          <w:iCs/>
          <w:sz w:val="24"/>
          <w:szCs w:val="24"/>
        </w:rPr>
        <w:t xml:space="preserve"> for </w:t>
      </w:r>
      <w:proofErr w:type="spellStart"/>
      <w:r w:rsidRPr="001463CC">
        <w:rPr>
          <w:rFonts w:asciiTheme="majorHAnsi" w:hAnsiTheme="majorHAnsi" w:cstheme="majorHAnsi"/>
          <w:bCs/>
          <w:i/>
          <w:iCs/>
          <w:sz w:val="24"/>
          <w:szCs w:val="24"/>
        </w:rPr>
        <w:t>each</w:t>
      </w:r>
      <w:proofErr w:type="spellEnd"/>
      <w:r w:rsidRPr="001463CC">
        <w:rPr>
          <w:rFonts w:asciiTheme="majorHAnsi" w:hAnsiTheme="majorHAnsi" w:cstheme="majorHAnsi"/>
          <w:bCs/>
          <w:i/>
          <w:iCs/>
          <w:sz w:val="24"/>
          <w:szCs w:val="24"/>
        </w:rPr>
        <w:t xml:space="preserve"> specific </w:t>
      </w:r>
      <w:proofErr w:type="spellStart"/>
      <w:r w:rsidRPr="001463CC">
        <w:rPr>
          <w:rFonts w:asciiTheme="majorHAnsi" w:hAnsiTheme="majorHAnsi" w:cstheme="majorHAnsi"/>
          <w:bCs/>
          <w:i/>
          <w:iCs/>
          <w:sz w:val="24"/>
          <w:szCs w:val="24"/>
        </w:rPr>
        <w:t>objective</w:t>
      </w:r>
      <w:proofErr w:type="spellEnd"/>
      <w:r w:rsidRPr="001463CC">
        <w:rPr>
          <w:rFonts w:asciiTheme="majorHAnsi" w:hAnsiTheme="majorHAnsi" w:cstheme="majorHAnsi"/>
          <w:bCs/>
          <w:i/>
          <w:iCs/>
          <w:sz w:val="24"/>
          <w:szCs w:val="24"/>
        </w:rPr>
        <w:t xml:space="preserve"> </w:t>
      </w:r>
      <w:proofErr w:type="spellStart"/>
      <w:r w:rsidRPr="001463CC">
        <w:rPr>
          <w:rFonts w:asciiTheme="majorHAnsi" w:hAnsiTheme="majorHAnsi" w:cstheme="majorHAnsi"/>
          <w:bCs/>
          <w:i/>
          <w:iCs/>
          <w:sz w:val="24"/>
          <w:szCs w:val="24"/>
        </w:rPr>
        <w:t>other</w:t>
      </w:r>
      <w:proofErr w:type="spellEnd"/>
      <w:r w:rsidRPr="001463CC">
        <w:rPr>
          <w:rFonts w:asciiTheme="majorHAnsi" w:hAnsiTheme="majorHAnsi" w:cstheme="majorHAnsi"/>
          <w:bCs/>
          <w:i/>
          <w:iCs/>
          <w:sz w:val="24"/>
          <w:szCs w:val="24"/>
        </w:rPr>
        <w:t xml:space="preserve"> </w:t>
      </w:r>
      <w:proofErr w:type="spellStart"/>
      <w:r w:rsidRPr="001463CC">
        <w:rPr>
          <w:rFonts w:asciiTheme="majorHAnsi" w:hAnsiTheme="majorHAnsi" w:cstheme="majorHAnsi"/>
          <w:bCs/>
          <w:i/>
          <w:iCs/>
          <w:sz w:val="24"/>
          <w:szCs w:val="24"/>
        </w:rPr>
        <w:t>than</w:t>
      </w:r>
      <w:proofErr w:type="spellEnd"/>
      <w:r w:rsidRPr="001463CC">
        <w:rPr>
          <w:rFonts w:asciiTheme="majorHAnsi" w:hAnsiTheme="majorHAnsi" w:cstheme="majorHAnsi"/>
          <w:bCs/>
          <w:i/>
          <w:iCs/>
          <w:sz w:val="24"/>
          <w:szCs w:val="24"/>
        </w:rPr>
        <w:t xml:space="preserve"> </w:t>
      </w:r>
      <w:proofErr w:type="spellStart"/>
      <w:r w:rsidRPr="001463CC">
        <w:rPr>
          <w:rFonts w:asciiTheme="majorHAnsi" w:hAnsiTheme="majorHAnsi" w:cstheme="majorHAnsi"/>
          <w:bCs/>
          <w:i/>
          <w:iCs/>
          <w:sz w:val="24"/>
          <w:szCs w:val="24"/>
        </w:rPr>
        <w:t>technical</w:t>
      </w:r>
      <w:proofErr w:type="spellEnd"/>
      <w:r w:rsidRPr="001463CC">
        <w:rPr>
          <w:rFonts w:asciiTheme="majorHAnsi" w:hAnsiTheme="majorHAnsi" w:cstheme="majorHAnsi"/>
          <w:bCs/>
          <w:i/>
          <w:iCs/>
          <w:sz w:val="24"/>
          <w:szCs w:val="24"/>
        </w:rPr>
        <w:t xml:space="preserve"> </w:t>
      </w:r>
      <w:proofErr w:type="spellStart"/>
      <w:r w:rsidRPr="001463CC">
        <w:rPr>
          <w:rFonts w:asciiTheme="majorHAnsi" w:hAnsiTheme="majorHAnsi" w:cstheme="majorHAnsi"/>
          <w:bCs/>
          <w:i/>
          <w:iCs/>
          <w:sz w:val="24"/>
          <w:szCs w:val="24"/>
        </w:rPr>
        <w:t>assistance</w:t>
      </w:r>
      <w:proofErr w:type="spellEnd"/>
      <w:r w:rsidRPr="001463CC">
        <w:rPr>
          <w:rFonts w:asciiTheme="majorHAnsi" w:hAnsiTheme="majorHAnsi" w:cstheme="majorHAnsi"/>
          <w:bCs/>
          <w:i/>
          <w:iCs/>
          <w:sz w:val="24"/>
          <w:szCs w:val="24"/>
        </w:rPr>
        <w:t xml:space="preserve"> )</w:t>
      </w:r>
    </w:p>
    <w:p w14:paraId="457DFF04" w14:textId="77777777" w:rsidR="000604FA" w:rsidRPr="001463CC" w:rsidRDefault="000604FA" w:rsidP="000604FA">
      <w:pPr>
        <w:spacing w:after="120" w:line="240" w:lineRule="auto"/>
        <w:rPr>
          <w:rFonts w:asciiTheme="majorHAnsi" w:hAnsiTheme="majorHAnsi" w:cstheme="majorHAnsi"/>
          <w:i/>
          <w:sz w:val="24"/>
          <w:szCs w:val="24"/>
        </w:rPr>
      </w:pPr>
      <w:proofErr w:type="spellStart"/>
      <w:r w:rsidRPr="001463CC">
        <w:rPr>
          <w:rFonts w:asciiTheme="majorHAnsi" w:hAnsiTheme="majorHAnsi" w:cstheme="majorHAnsi"/>
          <w:i/>
          <w:sz w:val="24"/>
          <w:szCs w:val="24"/>
        </w:rPr>
        <w:t>Reference</w:t>
      </w:r>
      <w:proofErr w:type="spellEnd"/>
      <w:r w:rsidRPr="001463CC">
        <w:rPr>
          <w:rFonts w:asciiTheme="majorHAnsi" w:hAnsiTheme="majorHAnsi" w:cstheme="majorHAnsi"/>
          <w:i/>
          <w:sz w:val="24"/>
          <w:szCs w:val="24"/>
        </w:rPr>
        <w:t xml:space="preserve">: </w:t>
      </w:r>
      <w:proofErr w:type="spellStart"/>
      <w:r w:rsidRPr="001463CC">
        <w:rPr>
          <w:rFonts w:asciiTheme="majorHAnsi" w:hAnsiTheme="majorHAnsi" w:cstheme="majorHAnsi"/>
          <w:i/>
          <w:sz w:val="24"/>
          <w:szCs w:val="24"/>
        </w:rPr>
        <w:t>Article</w:t>
      </w:r>
      <w:proofErr w:type="spellEnd"/>
      <w:r w:rsidRPr="001463CC">
        <w:rPr>
          <w:rFonts w:asciiTheme="majorHAnsi" w:hAnsiTheme="majorHAnsi" w:cstheme="majorHAnsi"/>
          <w:i/>
          <w:sz w:val="24"/>
          <w:szCs w:val="24"/>
        </w:rPr>
        <w:t xml:space="preserve"> 17(2) </w:t>
      </w:r>
      <w:proofErr w:type="spellStart"/>
      <w:r w:rsidRPr="001463CC">
        <w:rPr>
          <w:rFonts w:asciiTheme="majorHAnsi" w:hAnsiTheme="majorHAnsi" w:cstheme="majorHAnsi"/>
          <w:i/>
          <w:sz w:val="24"/>
          <w:szCs w:val="24"/>
        </w:rPr>
        <w:t>and</w:t>
      </w:r>
      <w:proofErr w:type="spellEnd"/>
      <w:r w:rsidRPr="001463CC">
        <w:rPr>
          <w:rFonts w:asciiTheme="majorHAnsi" w:hAnsiTheme="majorHAnsi" w:cstheme="majorHAnsi"/>
          <w:i/>
          <w:sz w:val="24"/>
          <w:szCs w:val="24"/>
        </w:rPr>
        <w:t xml:space="preserve"> 17(4)</w:t>
      </w:r>
    </w:p>
    <w:p w14:paraId="2E4FF47B" w14:textId="1FD91C6A" w:rsidR="00612B49" w:rsidRPr="005F7451" w:rsidRDefault="006A46D0" w:rsidP="006A46D0">
      <w:pPr>
        <w:pStyle w:val="Heading2"/>
        <w:spacing w:after="120" w:line="240" w:lineRule="auto"/>
        <w:ind w:left="10"/>
        <w:rPr>
          <w:rFonts w:asciiTheme="majorHAnsi" w:hAnsiTheme="majorHAnsi" w:cstheme="majorHAnsi"/>
        </w:rPr>
      </w:pPr>
      <w:r w:rsidRPr="005F7451">
        <w:rPr>
          <w:rFonts w:asciiTheme="majorHAnsi" w:hAnsiTheme="majorHAnsi" w:cstheme="majorHAnsi"/>
          <w:highlight w:val="yellow"/>
        </w:rPr>
        <w:t xml:space="preserve">2.1. OS1 </w:t>
      </w:r>
      <w:proofErr w:type="spellStart"/>
      <w:r w:rsidRPr="005F7451">
        <w:rPr>
          <w:rFonts w:asciiTheme="majorHAnsi" w:hAnsiTheme="majorHAnsi" w:cstheme="majorHAnsi"/>
          <w:highlight w:val="yellow"/>
        </w:rPr>
        <w:t>Title</w:t>
      </w:r>
      <w:proofErr w:type="spellEnd"/>
      <w:r w:rsidRPr="005F7451">
        <w:rPr>
          <w:rFonts w:asciiTheme="majorHAnsi" w:hAnsiTheme="majorHAnsi" w:cstheme="majorHAnsi"/>
          <w:highlight w:val="yellow"/>
        </w:rPr>
        <w:t xml:space="preserve"> of the specific </w:t>
      </w:r>
      <w:proofErr w:type="spellStart"/>
      <w:r w:rsidRPr="005F7451">
        <w:rPr>
          <w:rFonts w:asciiTheme="majorHAnsi" w:hAnsiTheme="majorHAnsi" w:cstheme="majorHAnsi"/>
          <w:highlight w:val="yellow"/>
        </w:rPr>
        <w:t>objective</w:t>
      </w:r>
      <w:proofErr w:type="spellEnd"/>
      <w:r w:rsidRPr="005F7451">
        <w:rPr>
          <w:rFonts w:asciiTheme="majorHAnsi" w:hAnsiTheme="majorHAnsi" w:cstheme="majorHAnsi"/>
          <w:highlight w:val="yellow"/>
        </w:rPr>
        <w:t xml:space="preserve"> [300] - </w:t>
      </w:r>
      <w:r w:rsidRPr="005F7451">
        <w:rPr>
          <w:rFonts w:asciiTheme="majorHAnsi" w:eastAsia="Arial Narrow" w:hAnsiTheme="majorHAnsi" w:cstheme="majorHAnsi"/>
          <w:highlight w:val="yellow"/>
        </w:rPr>
        <w:t>OS1 Sprijinirea unei gestionări europene integrate eficace a frontierelor externe, pusă în aplicare de poliția de frontieră și garda de coastă la nivel european ca responsabilitate comună a Agenției Europene pentru Poliția de Frontieră și Garda de Coastă și a autorităților naționale responsabile cu gestionarea frontierelor, în scopul facilitării trecerii legale a frontierei, al prevenirii și al depistării imigrației ilegale și a criminalității transfrontaliere, precum și al gestionării eficace a fluxurilor de migrație</w:t>
      </w:r>
    </w:p>
    <w:p w14:paraId="4C62EDB9" w14:textId="77777777" w:rsidR="00612B49" w:rsidRPr="006A46D0" w:rsidRDefault="006A46D0" w:rsidP="006A46D0">
      <w:pPr>
        <w:pStyle w:val="Heading3"/>
        <w:spacing w:after="120" w:line="240" w:lineRule="auto"/>
        <w:ind w:left="0" w:firstLine="0"/>
        <w:rPr>
          <w:rFonts w:asciiTheme="majorHAnsi" w:hAnsiTheme="majorHAnsi" w:cstheme="majorHAnsi"/>
        </w:rPr>
      </w:pPr>
      <w:bookmarkStart w:id="4" w:name="_6gwryke4d2t1" w:colFirst="0" w:colLast="0"/>
      <w:bookmarkEnd w:id="4"/>
      <w:r w:rsidRPr="006A46D0">
        <w:rPr>
          <w:rFonts w:asciiTheme="majorHAnsi" w:hAnsiTheme="majorHAnsi" w:cstheme="majorHAnsi"/>
        </w:rPr>
        <w:t xml:space="preserve">2.1.1. OS1 </w:t>
      </w:r>
      <w:proofErr w:type="spellStart"/>
      <w:r w:rsidRPr="006A46D0">
        <w:rPr>
          <w:rFonts w:asciiTheme="majorHAnsi" w:hAnsiTheme="majorHAnsi" w:cstheme="majorHAnsi"/>
        </w:rPr>
        <w:t>Description</w:t>
      </w:r>
      <w:proofErr w:type="spellEnd"/>
      <w:r w:rsidRPr="006A46D0">
        <w:rPr>
          <w:rFonts w:asciiTheme="majorHAnsi" w:hAnsiTheme="majorHAnsi" w:cstheme="majorHAnsi"/>
        </w:rPr>
        <w:t xml:space="preserve"> of a specific </w:t>
      </w:r>
      <w:proofErr w:type="spellStart"/>
      <w:r w:rsidRPr="006A46D0">
        <w:rPr>
          <w:rFonts w:asciiTheme="majorHAnsi" w:hAnsiTheme="majorHAnsi" w:cstheme="majorHAnsi"/>
        </w:rPr>
        <w:t>objective</w:t>
      </w:r>
      <w:proofErr w:type="spellEnd"/>
      <w:r w:rsidRPr="006A46D0">
        <w:rPr>
          <w:rFonts w:asciiTheme="majorHAnsi" w:hAnsiTheme="majorHAnsi" w:cstheme="majorHAnsi"/>
        </w:rPr>
        <w:t xml:space="preserve">  </w:t>
      </w:r>
    </w:p>
    <w:p w14:paraId="0A46A049" w14:textId="77777777" w:rsidR="00612B49" w:rsidRPr="006A46D0" w:rsidRDefault="006A46D0" w:rsidP="00AE0328">
      <w:pPr>
        <w:pBdr>
          <w:top w:val="single" w:sz="4" w:space="0" w:color="000000"/>
          <w:left w:val="single" w:sz="4" w:space="0" w:color="000000"/>
          <w:bottom w:val="single" w:sz="4" w:space="0" w:color="000000"/>
          <w:right w:val="single" w:sz="4" w:space="0" w:color="000000"/>
        </w:pBdr>
        <w:spacing w:after="0" w:line="240" w:lineRule="auto"/>
        <w:ind w:left="11" w:right="493" w:hanging="11"/>
        <w:jc w:val="both"/>
        <w:rPr>
          <w:rFonts w:asciiTheme="majorHAnsi" w:eastAsia="Trebuchet MS" w:hAnsiTheme="majorHAnsi" w:cstheme="majorHAnsi"/>
          <w:color w:val="808080" w:themeColor="background1" w:themeShade="80"/>
          <w:sz w:val="24"/>
          <w:szCs w:val="24"/>
        </w:rPr>
      </w:pPr>
      <w:proofErr w:type="spellStart"/>
      <w:r w:rsidRPr="006A46D0">
        <w:rPr>
          <w:rFonts w:asciiTheme="majorHAnsi" w:eastAsia="Trebuchet MS" w:hAnsiTheme="majorHAnsi" w:cstheme="majorHAnsi"/>
          <w:i/>
          <w:color w:val="808080" w:themeColor="background1" w:themeShade="80"/>
          <w:sz w:val="24"/>
          <w:szCs w:val="24"/>
        </w:rPr>
        <w:t>This</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section</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describes</w:t>
      </w:r>
      <w:proofErr w:type="spellEnd"/>
      <w:r w:rsidRPr="006A46D0">
        <w:rPr>
          <w:rFonts w:asciiTheme="majorHAnsi" w:eastAsia="Trebuchet MS" w:hAnsiTheme="majorHAnsi" w:cstheme="majorHAnsi"/>
          <w:i/>
          <w:color w:val="808080" w:themeColor="background1" w:themeShade="80"/>
          <w:sz w:val="24"/>
          <w:szCs w:val="24"/>
        </w:rPr>
        <w:t xml:space="preserve">, for </w:t>
      </w:r>
      <w:proofErr w:type="spellStart"/>
      <w:r w:rsidRPr="006A46D0">
        <w:rPr>
          <w:rFonts w:asciiTheme="majorHAnsi" w:eastAsia="Trebuchet MS" w:hAnsiTheme="majorHAnsi" w:cstheme="majorHAnsi"/>
          <w:i/>
          <w:color w:val="808080" w:themeColor="background1" w:themeShade="80"/>
          <w:sz w:val="24"/>
          <w:szCs w:val="24"/>
        </w:rPr>
        <w:t>each</w:t>
      </w:r>
      <w:proofErr w:type="spellEnd"/>
      <w:r w:rsidRPr="006A46D0">
        <w:rPr>
          <w:rFonts w:asciiTheme="majorHAnsi" w:eastAsia="Trebuchet MS" w:hAnsiTheme="majorHAnsi" w:cstheme="majorHAnsi"/>
          <w:i/>
          <w:color w:val="808080" w:themeColor="background1" w:themeShade="80"/>
          <w:sz w:val="24"/>
          <w:szCs w:val="24"/>
        </w:rPr>
        <w:t xml:space="preserve"> specific </w:t>
      </w:r>
      <w:proofErr w:type="spellStart"/>
      <w:r w:rsidRPr="006A46D0">
        <w:rPr>
          <w:rFonts w:asciiTheme="majorHAnsi" w:eastAsia="Trebuchet MS" w:hAnsiTheme="majorHAnsi" w:cstheme="majorHAnsi"/>
          <w:i/>
          <w:color w:val="808080" w:themeColor="background1" w:themeShade="80"/>
          <w:sz w:val="24"/>
          <w:szCs w:val="24"/>
        </w:rPr>
        <w:t>objective</w:t>
      </w:r>
      <w:proofErr w:type="spellEnd"/>
      <w:r w:rsidRPr="006A46D0">
        <w:rPr>
          <w:rFonts w:asciiTheme="majorHAnsi" w:eastAsia="Trebuchet MS" w:hAnsiTheme="majorHAnsi" w:cstheme="majorHAnsi"/>
          <w:i/>
          <w:color w:val="808080" w:themeColor="background1" w:themeShade="80"/>
          <w:sz w:val="24"/>
          <w:szCs w:val="24"/>
        </w:rPr>
        <w:t xml:space="preserve">, the </w:t>
      </w:r>
      <w:proofErr w:type="spellStart"/>
      <w:r w:rsidRPr="006A46D0">
        <w:rPr>
          <w:rFonts w:asciiTheme="majorHAnsi" w:eastAsia="Trebuchet MS" w:hAnsiTheme="majorHAnsi" w:cstheme="majorHAnsi"/>
          <w:i/>
          <w:color w:val="808080" w:themeColor="background1" w:themeShade="80"/>
          <w:sz w:val="24"/>
          <w:szCs w:val="24"/>
        </w:rPr>
        <w:t>initial</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situation</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main</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challenges</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and</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proposes</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responses</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supported</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by</w:t>
      </w:r>
      <w:proofErr w:type="spellEnd"/>
      <w:r w:rsidRPr="006A46D0">
        <w:rPr>
          <w:rFonts w:asciiTheme="majorHAnsi" w:eastAsia="Trebuchet MS" w:hAnsiTheme="majorHAnsi" w:cstheme="majorHAnsi"/>
          <w:i/>
          <w:color w:val="808080" w:themeColor="background1" w:themeShade="80"/>
          <w:sz w:val="24"/>
          <w:szCs w:val="24"/>
        </w:rPr>
        <w:t xml:space="preserve"> the Fund. It </w:t>
      </w:r>
      <w:proofErr w:type="spellStart"/>
      <w:r w:rsidRPr="006A46D0">
        <w:rPr>
          <w:rFonts w:asciiTheme="majorHAnsi" w:eastAsia="Trebuchet MS" w:hAnsiTheme="majorHAnsi" w:cstheme="majorHAnsi"/>
          <w:i/>
          <w:color w:val="808080" w:themeColor="background1" w:themeShade="80"/>
          <w:sz w:val="24"/>
          <w:szCs w:val="24"/>
        </w:rPr>
        <w:t>describes</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which</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implementation</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measures</w:t>
      </w:r>
      <w:proofErr w:type="spellEnd"/>
      <w:r w:rsidRPr="006A46D0">
        <w:rPr>
          <w:rFonts w:asciiTheme="majorHAnsi" w:eastAsia="Trebuchet MS" w:hAnsiTheme="majorHAnsi" w:cstheme="majorHAnsi"/>
          <w:i/>
          <w:color w:val="808080" w:themeColor="background1" w:themeShade="80"/>
          <w:sz w:val="24"/>
          <w:szCs w:val="24"/>
        </w:rPr>
        <w:t xml:space="preserve"> are </w:t>
      </w:r>
      <w:proofErr w:type="spellStart"/>
      <w:r w:rsidRPr="006A46D0">
        <w:rPr>
          <w:rFonts w:asciiTheme="majorHAnsi" w:eastAsia="Trebuchet MS" w:hAnsiTheme="majorHAnsi" w:cstheme="majorHAnsi"/>
          <w:i/>
          <w:color w:val="808080" w:themeColor="background1" w:themeShade="80"/>
          <w:sz w:val="24"/>
          <w:szCs w:val="24"/>
        </w:rPr>
        <w:t>addressed</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with</w:t>
      </w:r>
      <w:proofErr w:type="spellEnd"/>
      <w:r w:rsidRPr="006A46D0">
        <w:rPr>
          <w:rFonts w:asciiTheme="majorHAnsi" w:eastAsia="Trebuchet MS" w:hAnsiTheme="majorHAnsi" w:cstheme="majorHAnsi"/>
          <w:i/>
          <w:color w:val="808080" w:themeColor="background1" w:themeShade="80"/>
          <w:sz w:val="24"/>
          <w:szCs w:val="24"/>
        </w:rPr>
        <w:t xml:space="preserve"> the </w:t>
      </w:r>
      <w:proofErr w:type="spellStart"/>
      <w:r w:rsidRPr="006A46D0">
        <w:rPr>
          <w:rFonts w:asciiTheme="majorHAnsi" w:eastAsia="Trebuchet MS" w:hAnsiTheme="majorHAnsi" w:cstheme="majorHAnsi"/>
          <w:i/>
          <w:color w:val="808080" w:themeColor="background1" w:themeShade="80"/>
          <w:sz w:val="24"/>
          <w:szCs w:val="24"/>
        </w:rPr>
        <w:t>support</w:t>
      </w:r>
      <w:proofErr w:type="spellEnd"/>
      <w:r w:rsidRPr="006A46D0">
        <w:rPr>
          <w:rFonts w:asciiTheme="majorHAnsi" w:eastAsia="Trebuchet MS" w:hAnsiTheme="majorHAnsi" w:cstheme="majorHAnsi"/>
          <w:i/>
          <w:color w:val="808080" w:themeColor="background1" w:themeShade="80"/>
          <w:sz w:val="24"/>
          <w:szCs w:val="24"/>
        </w:rPr>
        <w:t xml:space="preserve"> of the Fund; it </w:t>
      </w:r>
      <w:proofErr w:type="spellStart"/>
      <w:r w:rsidRPr="006A46D0">
        <w:rPr>
          <w:rFonts w:asciiTheme="majorHAnsi" w:eastAsia="Trebuchet MS" w:hAnsiTheme="majorHAnsi" w:cstheme="majorHAnsi"/>
          <w:i/>
          <w:color w:val="808080" w:themeColor="background1" w:themeShade="80"/>
          <w:sz w:val="24"/>
          <w:szCs w:val="24"/>
        </w:rPr>
        <w:t>provides</w:t>
      </w:r>
      <w:proofErr w:type="spellEnd"/>
      <w:r w:rsidRPr="006A46D0">
        <w:rPr>
          <w:rFonts w:asciiTheme="majorHAnsi" w:eastAsia="Trebuchet MS" w:hAnsiTheme="majorHAnsi" w:cstheme="majorHAnsi"/>
          <w:i/>
          <w:color w:val="808080" w:themeColor="background1" w:themeShade="80"/>
          <w:sz w:val="24"/>
          <w:szCs w:val="24"/>
        </w:rPr>
        <w:t xml:space="preserve"> an indicative </w:t>
      </w:r>
      <w:proofErr w:type="spellStart"/>
      <w:r w:rsidRPr="006A46D0">
        <w:rPr>
          <w:rFonts w:asciiTheme="majorHAnsi" w:eastAsia="Trebuchet MS" w:hAnsiTheme="majorHAnsi" w:cstheme="majorHAnsi"/>
          <w:i/>
          <w:color w:val="808080" w:themeColor="background1" w:themeShade="80"/>
          <w:sz w:val="24"/>
          <w:szCs w:val="24"/>
        </w:rPr>
        <w:t>list</w:t>
      </w:r>
      <w:proofErr w:type="spellEnd"/>
      <w:r w:rsidRPr="006A46D0">
        <w:rPr>
          <w:rFonts w:asciiTheme="majorHAnsi" w:eastAsia="Trebuchet MS" w:hAnsiTheme="majorHAnsi" w:cstheme="majorHAnsi"/>
          <w:i/>
          <w:color w:val="808080" w:themeColor="background1" w:themeShade="80"/>
          <w:sz w:val="24"/>
          <w:szCs w:val="24"/>
        </w:rPr>
        <w:t xml:space="preserve"> of </w:t>
      </w:r>
      <w:proofErr w:type="spellStart"/>
      <w:r w:rsidRPr="006A46D0">
        <w:rPr>
          <w:rFonts w:asciiTheme="majorHAnsi" w:eastAsia="Trebuchet MS" w:hAnsiTheme="majorHAnsi" w:cstheme="majorHAnsi"/>
          <w:i/>
          <w:color w:val="808080" w:themeColor="background1" w:themeShade="80"/>
          <w:sz w:val="24"/>
          <w:szCs w:val="24"/>
        </w:rPr>
        <w:t>actions</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within</w:t>
      </w:r>
      <w:proofErr w:type="spellEnd"/>
      <w:r w:rsidRPr="006A46D0">
        <w:rPr>
          <w:rFonts w:asciiTheme="majorHAnsi" w:eastAsia="Trebuchet MS" w:hAnsiTheme="majorHAnsi" w:cstheme="majorHAnsi"/>
          <w:i/>
          <w:color w:val="808080" w:themeColor="background1" w:themeShade="80"/>
          <w:sz w:val="24"/>
          <w:szCs w:val="24"/>
        </w:rPr>
        <w:t xml:space="preserve"> the </w:t>
      </w:r>
      <w:proofErr w:type="spellStart"/>
      <w:r w:rsidRPr="006A46D0">
        <w:rPr>
          <w:rFonts w:asciiTheme="majorHAnsi" w:eastAsia="Trebuchet MS" w:hAnsiTheme="majorHAnsi" w:cstheme="majorHAnsi"/>
          <w:i/>
          <w:color w:val="808080" w:themeColor="background1" w:themeShade="80"/>
          <w:sz w:val="24"/>
          <w:szCs w:val="24"/>
        </w:rPr>
        <w:t>scope</w:t>
      </w:r>
      <w:proofErr w:type="spellEnd"/>
      <w:r w:rsidRPr="006A46D0">
        <w:rPr>
          <w:rFonts w:asciiTheme="majorHAnsi" w:eastAsia="Trebuchet MS" w:hAnsiTheme="majorHAnsi" w:cstheme="majorHAnsi"/>
          <w:i/>
          <w:color w:val="808080" w:themeColor="background1" w:themeShade="80"/>
          <w:sz w:val="24"/>
          <w:szCs w:val="24"/>
        </w:rPr>
        <w:t xml:space="preserve"> of </w:t>
      </w:r>
      <w:proofErr w:type="spellStart"/>
      <w:r w:rsidRPr="006A46D0">
        <w:rPr>
          <w:rFonts w:asciiTheme="majorHAnsi" w:eastAsia="Trebuchet MS" w:hAnsiTheme="majorHAnsi" w:cstheme="majorHAnsi"/>
          <w:i/>
          <w:color w:val="808080" w:themeColor="background1" w:themeShade="80"/>
          <w:sz w:val="24"/>
          <w:szCs w:val="24"/>
        </w:rPr>
        <w:t>Articles</w:t>
      </w:r>
      <w:proofErr w:type="spellEnd"/>
      <w:r w:rsidRPr="006A46D0">
        <w:rPr>
          <w:rFonts w:asciiTheme="majorHAnsi" w:eastAsia="Trebuchet MS" w:hAnsiTheme="majorHAnsi" w:cstheme="majorHAnsi"/>
          <w:i/>
          <w:color w:val="808080" w:themeColor="background1" w:themeShade="80"/>
          <w:sz w:val="24"/>
          <w:szCs w:val="24"/>
        </w:rPr>
        <w:t xml:space="preserve"> 3 </w:t>
      </w:r>
      <w:proofErr w:type="spellStart"/>
      <w:r w:rsidRPr="006A46D0">
        <w:rPr>
          <w:rFonts w:asciiTheme="majorHAnsi" w:eastAsia="Trebuchet MS" w:hAnsiTheme="majorHAnsi" w:cstheme="majorHAnsi"/>
          <w:i/>
          <w:color w:val="808080" w:themeColor="background1" w:themeShade="80"/>
          <w:sz w:val="24"/>
          <w:szCs w:val="24"/>
        </w:rPr>
        <w:t>and</w:t>
      </w:r>
      <w:proofErr w:type="spellEnd"/>
      <w:r w:rsidRPr="006A46D0">
        <w:rPr>
          <w:rFonts w:asciiTheme="majorHAnsi" w:eastAsia="Trebuchet MS" w:hAnsiTheme="majorHAnsi" w:cstheme="majorHAnsi"/>
          <w:i/>
          <w:color w:val="808080" w:themeColor="background1" w:themeShade="80"/>
          <w:sz w:val="24"/>
          <w:szCs w:val="24"/>
        </w:rPr>
        <w:t xml:space="preserve"> 4 of the AMIF, ISF or BMVI </w:t>
      </w:r>
      <w:proofErr w:type="spellStart"/>
      <w:r w:rsidRPr="006A46D0">
        <w:rPr>
          <w:rFonts w:asciiTheme="majorHAnsi" w:eastAsia="Trebuchet MS" w:hAnsiTheme="majorHAnsi" w:cstheme="majorHAnsi"/>
          <w:i/>
          <w:color w:val="808080" w:themeColor="background1" w:themeShade="80"/>
          <w:sz w:val="24"/>
          <w:szCs w:val="24"/>
        </w:rPr>
        <w:t>Regulations</w:t>
      </w:r>
      <w:proofErr w:type="spellEnd"/>
      <w:r w:rsidRPr="006A46D0">
        <w:rPr>
          <w:rFonts w:asciiTheme="majorHAnsi" w:eastAsia="Trebuchet MS" w:hAnsiTheme="majorHAnsi" w:cstheme="majorHAnsi"/>
          <w:i/>
          <w:color w:val="808080" w:themeColor="background1" w:themeShade="80"/>
          <w:sz w:val="24"/>
          <w:szCs w:val="24"/>
        </w:rPr>
        <w:t xml:space="preserve">. </w:t>
      </w:r>
    </w:p>
    <w:p w14:paraId="527FCE56" w14:textId="77777777" w:rsidR="00612B49" w:rsidRPr="006A46D0" w:rsidRDefault="006A46D0" w:rsidP="00AE0328">
      <w:pPr>
        <w:pBdr>
          <w:top w:val="single" w:sz="4" w:space="0" w:color="000000"/>
          <w:left w:val="single" w:sz="4" w:space="0" w:color="000000"/>
          <w:bottom w:val="single" w:sz="4" w:space="0" w:color="000000"/>
          <w:right w:val="single" w:sz="4" w:space="0" w:color="000000"/>
        </w:pBdr>
        <w:spacing w:after="0" w:line="240" w:lineRule="auto"/>
        <w:ind w:left="11" w:right="493" w:hanging="11"/>
        <w:jc w:val="both"/>
        <w:rPr>
          <w:rFonts w:asciiTheme="majorHAnsi" w:eastAsia="Trebuchet MS" w:hAnsiTheme="majorHAnsi" w:cstheme="majorHAnsi"/>
          <w:color w:val="808080" w:themeColor="background1" w:themeShade="80"/>
          <w:sz w:val="24"/>
          <w:szCs w:val="24"/>
        </w:rPr>
      </w:pPr>
      <w:r w:rsidRPr="006A46D0">
        <w:rPr>
          <w:rFonts w:asciiTheme="majorHAnsi" w:eastAsia="Trebuchet MS" w:hAnsiTheme="majorHAnsi" w:cstheme="majorHAnsi"/>
          <w:i/>
          <w:color w:val="808080" w:themeColor="background1" w:themeShade="80"/>
          <w:sz w:val="24"/>
          <w:szCs w:val="24"/>
        </w:rPr>
        <w:t xml:space="preserve">In particular: For </w:t>
      </w:r>
      <w:proofErr w:type="spellStart"/>
      <w:r w:rsidRPr="006A46D0">
        <w:rPr>
          <w:rFonts w:asciiTheme="majorHAnsi" w:eastAsia="Trebuchet MS" w:hAnsiTheme="majorHAnsi" w:cstheme="majorHAnsi"/>
          <w:i/>
          <w:color w:val="808080" w:themeColor="background1" w:themeShade="80"/>
          <w:sz w:val="24"/>
          <w:szCs w:val="24"/>
        </w:rPr>
        <w:t>operating</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support</w:t>
      </w:r>
      <w:proofErr w:type="spellEnd"/>
      <w:r w:rsidRPr="006A46D0">
        <w:rPr>
          <w:rFonts w:asciiTheme="majorHAnsi" w:eastAsia="Trebuchet MS" w:hAnsiTheme="majorHAnsi" w:cstheme="majorHAnsi"/>
          <w:i/>
          <w:color w:val="808080" w:themeColor="background1" w:themeShade="80"/>
          <w:sz w:val="24"/>
          <w:szCs w:val="24"/>
        </w:rPr>
        <w:t xml:space="preserve">, it </w:t>
      </w:r>
      <w:proofErr w:type="spellStart"/>
      <w:r w:rsidRPr="006A46D0">
        <w:rPr>
          <w:rFonts w:asciiTheme="majorHAnsi" w:eastAsia="Trebuchet MS" w:hAnsiTheme="majorHAnsi" w:cstheme="majorHAnsi"/>
          <w:i/>
          <w:color w:val="808080" w:themeColor="background1" w:themeShade="80"/>
          <w:sz w:val="24"/>
          <w:szCs w:val="24"/>
        </w:rPr>
        <w:t>provides</w:t>
      </w:r>
      <w:proofErr w:type="spellEnd"/>
      <w:r w:rsidRPr="006A46D0">
        <w:rPr>
          <w:rFonts w:asciiTheme="majorHAnsi" w:eastAsia="Trebuchet MS" w:hAnsiTheme="majorHAnsi" w:cstheme="majorHAnsi"/>
          <w:i/>
          <w:color w:val="808080" w:themeColor="background1" w:themeShade="80"/>
          <w:sz w:val="24"/>
          <w:szCs w:val="24"/>
        </w:rPr>
        <w:t xml:space="preserve"> a </w:t>
      </w:r>
      <w:proofErr w:type="spellStart"/>
      <w:r w:rsidRPr="006A46D0">
        <w:rPr>
          <w:rFonts w:asciiTheme="majorHAnsi" w:eastAsia="Trebuchet MS" w:hAnsiTheme="majorHAnsi" w:cstheme="majorHAnsi"/>
          <w:i/>
          <w:color w:val="808080" w:themeColor="background1" w:themeShade="80"/>
          <w:sz w:val="24"/>
          <w:szCs w:val="24"/>
        </w:rPr>
        <w:t>justification</w:t>
      </w:r>
      <w:proofErr w:type="spellEnd"/>
      <w:r w:rsidRPr="006A46D0">
        <w:rPr>
          <w:rFonts w:asciiTheme="majorHAnsi" w:eastAsia="Trebuchet MS" w:hAnsiTheme="majorHAnsi" w:cstheme="majorHAnsi"/>
          <w:i/>
          <w:color w:val="808080" w:themeColor="background1" w:themeShade="80"/>
          <w:sz w:val="24"/>
          <w:szCs w:val="24"/>
        </w:rPr>
        <w:t xml:space="preserve"> in line </w:t>
      </w:r>
      <w:proofErr w:type="spellStart"/>
      <w:r w:rsidRPr="006A46D0">
        <w:rPr>
          <w:rFonts w:asciiTheme="majorHAnsi" w:eastAsia="Trebuchet MS" w:hAnsiTheme="majorHAnsi" w:cstheme="majorHAnsi"/>
          <w:i/>
          <w:color w:val="808080" w:themeColor="background1" w:themeShade="80"/>
          <w:sz w:val="24"/>
          <w:szCs w:val="24"/>
        </w:rPr>
        <w:t>with</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Article</w:t>
      </w:r>
      <w:proofErr w:type="spellEnd"/>
      <w:r w:rsidRPr="006A46D0">
        <w:rPr>
          <w:rFonts w:asciiTheme="majorHAnsi" w:eastAsia="Trebuchet MS" w:hAnsiTheme="majorHAnsi" w:cstheme="majorHAnsi"/>
          <w:i/>
          <w:color w:val="808080" w:themeColor="background1" w:themeShade="80"/>
          <w:sz w:val="24"/>
          <w:szCs w:val="24"/>
        </w:rPr>
        <w:t xml:space="preserve"> 15</w:t>
      </w:r>
      <w:r w:rsidRPr="006A46D0">
        <w:rPr>
          <w:rFonts w:asciiTheme="majorHAnsi" w:eastAsia="Trebuchet MS" w:hAnsiTheme="majorHAnsi" w:cstheme="majorHAnsi"/>
          <w:i/>
          <w:color w:val="808080" w:themeColor="background1" w:themeShade="80"/>
          <w:sz w:val="24"/>
          <w:szCs w:val="24"/>
          <w:vertAlign w:val="superscript"/>
        </w:rPr>
        <w:footnoteReference w:id="3"/>
      </w:r>
      <w:r w:rsidRPr="006A46D0">
        <w:rPr>
          <w:rFonts w:asciiTheme="majorHAnsi" w:eastAsia="Trebuchet MS" w:hAnsiTheme="majorHAnsi" w:cstheme="majorHAnsi"/>
          <w:i/>
          <w:color w:val="808080" w:themeColor="background1" w:themeShade="80"/>
          <w:sz w:val="24"/>
          <w:szCs w:val="24"/>
        </w:rPr>
        <w:t xml:space="preserve">of the ISF </w:t>
      </w:r>
      <w:proofErr w:type="spellStart"/>
      <w:r w:rsidRPr="006A46D0">
        <w:rPr>
          <w:rFonts w:asciiTheme="majorHAnsi" w:eastAsia="Trebuchet MS" w:hAnsiTheme="majorHAnsi" w:cstheme="majorHAnsi"/>
          <w:i/>
          <w:color w:val="808080" w:themeColor="background1" w:themeShade="80"/>
          <w:sz w:val="24"/>
          <w:szCs w:val="24"/>
        </w:rPr>
        <w:t>Regulation</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Articles</w:t>
      </w:r>
      <w:proofErr w:type="spellEnd"/>
      <w:r w:rsidRPr="006A46D0">
        <w:rPr>
          <w:rFonts w:asciiTheme="majorHAnsi" w:eastAsia="Trebuchet MS" w:hAnsiTheme="majorHAnsi" w:cstheme="majorHAnsi"/>
          <w:i/>
          <w:color w:val="808080" w:themeColor="background1" w:themeShade="80"/>
          <w:sz w:val="24"/>
          <w:szCs w:val="24"/>
        </w:rPr>
        <w:t xml:space="preserve"> 15 </w:t>
      </w:r>
      <w:proofErr w:type="spellStart"/>
      <w:r w:rsidRPr="006A46D0">
        <w:rPr>
          <w:rFonts w:asciiTheme="majorHAnsi" w:eastAsia="Trebuchet MS" w:hAnsiTheme="majorHAnsi" w:cstheme="majorHAnsi"/>
          <w:i/>
          <w:color w:val="808080" w:themeColor="background1" w:themeShade="80"/>
          <w:sz w:val="24"/>
          <w:szCs w:val="24"/>
        </w:rPr>
        <w:t>and</w:t>
      </w:r>
      <w:proofErr w:type="spellEnd"/>
      <w:r w:rsidRPr="006A46D0">
        <w:rPr>
          <w:rFonts w:asciiTheme="majorHAnsi" w:eastAsia="Trebuchet MS" w:hAnsiTheme="majorHAnsi" w:cstheme="majorHAnsi"/>
          <w:i/>
          <w:color w:val="808080" w:themeColor="background1" w:themeShade="80"/>
          <w:sz w:val="24"/>
          <w:szCs w:val="24"/>
        </w:rPr>
        <w:t xml:space="preserve"> 16 of the BMVI </w:t>
      </w:r>
      <w:proofErr w:type="spellStart"/>
      <w:r w:rsidRPr="006A46D0">
        <w:rPr>
          <w:rFonts w:asciiTheme="majorHAnsi" w:eastAsia="Trebuchet MS" w:hAnsiTheme="majorHAnsi" w:cstheme="majorHAnsi"/>
          <w:i/>
          <w:color w:val="808080" w:themeColor="background1" w:themeShade="80"/>
          <w:sz w:val="24"/>
          <w:szCs w:val="24"/>
        </w:rPr>
        <w:t>Regulation</w:t>
      </w:r>
      <w:proofErr w:type="spellEnd"/>
      <w:r w:rsidRPr="006A46D0">
        <w:rPr>
          <w:rFonts w:asciiTheme="majorHAnsi" w:eastAsia="Trebuchet MS" w:hAnsiTheme="majorHAnsi" w:cstheme="majorHAnsi"/>
          <w:i/>
          <w:color w:val="808080" w:themeColor="background1" w:themeShade="80"/>
          <w:sz w:val="24"/>
          <w:szCs w:val="24"/>
        </w:rPr>
        <w:t xml:space="preserve"> or </w:t>
      </w:r>
      <w:proofErr w:type="spellStart"/>
      <w:r w:rsidRPr="006A46D0">
        <w:rPr>
          <w:rFonts w:asciiTheme="majorHAnsi" w:eastAsia="Trebuchet MS" w:hAnsiTheme="majorHAnsi" w:cstheme="majorHAnsi"/>
          <w:i/>
          <w:color w:val="808080" w:themeColor="background1" w:themeShade="80"/>
          <w:sz w:val="24"/>
          <w:szCs w:val="24"/>
        </w:rPr>
        <w:t>Article</w:t>
      </w:r>
      <w:proofErr w:type="spellEnd"/>
      <w:r w:rsidRPr="006A46D0">
        <w:rPr>
          <w:rFonts w:asciiTheme="majorHAnsi" w:eastAsia="Trebuchet MS" w:hAnsiTheme="majorHAnsi" w:cstheme="majorHAnsi"/>
          <w:i/>
          <w:color w:val="808080" w:themeColor="background1" w:themeShade="80"/>
          <w:sz w:val="24"/>
          <w:szCs w:val="24"/>
        </w:rPr>
        <w:t xml:space="preserve"> 18 of the AMIF </w:t>
      </w:r>
      <w:proofErr w:type="spellStart"/>
      <w:r w:rsidRPr="006A46D0">
        <w:rPr>
          <w:rFonts w:asciiTheme="majorHAnsi" w:eastAsia="Trebuchet MS" w:hAnsiTheme="majorHAnsi" w:cstheme="majorHAnsi"/>
          <w:i/>
          <w:color w:val="808080" w:themeColor="background1" w:themeShade="80"/>
          <w:sz w:val="24"/>
          <w:szCs w:val="24"/>
        </w:rPr>
        <w:t>Regulation</w:t>
      </w:r>
      <w:proofErr w:type="spellEnd"/>
      <w:r w:rsidRPr="006A46D0">
        <w:rPr>
          <w:rFonts w:asciiTheme="majorHAnsi" w:eastAsia="Trebuchet MS" w:hAnsiTheme="majorHAnsi" w:cstheme="majorHAnsi"/>
          <w:i/>
          <w:color w:val="808080" w:themeColor="background1" w:themeShade="80"/>
          <w:sz w:val="24"/>
          <w:szCs w:val="24"/>
        </w:rPr>
        <w:t xml:space="preserve">. It </w:t>
      </w:r>
      <w:proofErr w:type="spellStart"/>
      <w:r w:rsidRPr="006A46D0">
        <w:rPr>
          <w:rFonts w:asciiTheme="majorHAnsi" w:eastAsia="Trebuchet MS" w:hAnsiTheme="majorHAnsi" w:cstheme="majorHAnsi"/>
          <w:i/>
          <w:color w:val="808080" w:themeColor="background1" w:themeShade="80"/>
          <w:sz w:val="24"/>
          <w:szCs w:val="24"/>
        </w:rPr>
        <w:t>includes</w:t>
      </w:r>
      <w:proofErr w:type="spellEnd"/>
      <w:r w:rsidRPr="006A46D0">
        <w:rPr>
          <w:rFonts w:asciiTheme="majorHAnsi" w:eastAsia="Trebuchet MS" w:hAnsiTheme="majorHAnsi" w:cstheme="majorHAnsi"/>
          <w:i/>
          <w:color w:val="808080" w:themeColor="background1" w:themeShade="80"/>
          <w:sz w:val="24"/>
          <w:szCs w:val="24"/>
        </w:rPr>
        <w:t xml:space="preserve"> an indicative </w:t>
      </w:r>
      <w:proofErr w:type="spellStart"/>
      <w:r w:rsidRPr="006A46D0">
        <w:rPr>
          <w:rFonts w:asciiTheme="majorHAnsi" w:eastAsia="Trebuchet MS" w:hAnsiTheme="majorHAnsi" w:cstheme="majorHAnsi"/>
          <w:i/>
          <w:color w:val="808080" w:themeColor="background1" w:themeShade="80"/>
          <w:sz w:val="24"/>
          <w:szCs w:val="24"/>
        </w:rPr>
        <w:t>list</w:t>
      </w:r>
      <w:proofErr w:type="spellEnd"/>
      <w:r w:rsidRPr="006A46D0">
        <w:rPr>
          <w:rFonts w:asciiTheme="majorHAnsi" w:eastAsia="Trebuchet MS" w:hAnsiTheme="majorHAnsi" w:cstheme="majorHAnsi"/>
          <w:i/>
          <w:color w:val="808080" w:themeColor="background1" w:themeShade="80"/>
          <w:sz w:val="24"/>
          <w:szCs w:val="24"/>
        </w:rPr>
        <w:t xml:space="preserve"> of </w:t>
      </w:r>
      <w:proofErr w:type="spellStart"/>
      <w:r w:rsidRPr="006A46D0">
        <w:rPr>
          <w:rFonts w:asciiTheme="majorHAnsi" w:eastAsia="Trebuchet MS" w:hAnsiTheme="majorHAnsi" w:cstheme="majorHAnsi"/>
          <w:i/>
          <w:color w:val="808080" w:themeColor="background1" w:themeShade="80"/>
          <w:sz w:val="24"/>
          <w:szCs w:val="24"/>
        </w:rPr>
        <w:t>beneficiaries</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with</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their</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statutory</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responsibilities</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main</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tasks</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to</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be</w:t>
      </w:r>
      <w:proofErr w:type="spellEnd"/>
      <w:r w:rsidRPr="006A46D0">
        <w:rPr>
          <w:rFonts w:asciiTheme="majorHAnsi" w:eastAsia="Trebuchet MS" w:hAnsiTheme="majorHAnsi" w:cstheme="majorHAnsi"/>
          <w:i/>
          <w:color w:val="808080" w:themeColor="background1" w:themeShade="80"/>
          <w:sz w:val="24"/>
          <w:szCs w:val="24"/>
        </w:rPr>
        <w:t xml:space="preserve"> </w:t>
      </w:r>
      <w:proofErr w:type="spellStart"/>
      <w:r w:rsidRPr="006A46D0">
        <w:rPr>
          <w:rFonts w:asciiTheme="majorHAnsi" w:eastAsia="Trebuchet MS" w:hAnsiTheme="majorHAnsi" w:cstheme="majorHAnsi"/>
          <w:i/>
          <w:color w:val="808080" w:themeColor="background1" w:themeShade="80"/>
          <w:sz w:val="24"/>
          <w:szCs w:val="24"/>
        </w:rPr>
        <w:t>supported</w:t>
      </w:r>
      <w:proofErr w:type="spellEnd"/>
      <w:r w:rsidRPr="006A46D0">
        <w:rPr>
          <w:rFonts w:asciiTheme="majorHAnsi" w:eastAsia="Trebuchet MS" w:hAnsiTheme="majorHAnsi" w:cstheme="majorHAnsi"/>
          <w:i/>
          <w:color w:val="808080" w:themeColor="background1" w:themeShade="80"/>
          <w:sz w:val="24"/>
          <w:szCs w:val="24"/>
        </w:rPr>
        <w:t xml:space="preserve">.  </w:t>
      </w:r>
    </w:p>
    <w:p w14:paraId="0F05BD2C" w14:textId="77777777" w:rsidR="00612B49" w:rsidRPr="006A46D0" w:rsidRDefault="006A46D0" w:rsidP="00AE0328">
      <w:pPr>
        <w:pBdr>
          <w:top w:val="single" w:sz="4" w:space="0" w:color="000000"/>
          <w:left w:val="single" w:sz="4" w:space="0" w:color="000000"/>
          <w:bottom w:val="single" w:sz="4" w:space="0" w:color="000000"/>
          <w:right w:val="single" w:sz="4" w:space="0" w:color="000000"/>
        </w:pBdr>
        <w:spacing w:after="0" w:line="240" w:lineRule="auto"/>
        <w:ind w:left="11" w:right="493" w:hanging="11"/>
        <w:jc w:val="both"/>
        <w:rPr>
          <w:rFonts w:asciiTheme="majorHAnsi" w:hAnsiTheme="majorHAnsi" w:cstheme="majorHAnsi"/>
          <w:color w:val="808080" w:themeColor="background1" w:themeShade="80"/>
          <w:sz w:val="24"/>
          <w:szCs w:val="24"/>
        </w:rPr>
      </w:pPr>
      <w:r w:rsidRPr="006A46D0">
        <w:rPr>
          <w:rFonts w:asciiTheme="majorHAnsi" w:hAnsiTheme="majorHAnsi" w:cstheme="majorHAnsi"/>
          <w:color w:val="808080" w:themeColor="background1" w:themeShade="80"/>
          <w:sz w:val="24"/>
          <w:szCs w:val="24"/>
        </w:rPr>
        <w:t xml:space="preserve">Text </w:t>
      </w:r>
      <w:proofErr w:type="spellStart"/>
      <w:r w:rsidRPr="006A46D0">
        <w:rPr>
          <w:rFonts w:asciiTheme="majorHAnsi" w:hAnsiTheme="majorHAnsi" w:cstheme="majorHAnsi"/>
          <w:color w:val="808080" w:themeColor="background1" w:themeShade="80"/>
          <w:sz w:val="24"/>
          <w:szCs w:val="24"/>
        </w:rPr>
        <w:t>field</w:t>
      </w:r>
      <w:proofErr w:type="spellEnd"/>
      <w:r w:rsidRPr="006A46D0">
        <w:rPr>
          <w:rFonts w:asciiTheme="majorHAnsi" w:hAnsiTheme="majorHAnsi" w:cstheme="majorHAnsi"/>
          <w:color w:val="808080" w:themeColor="background1" w:themeShade="80"/>
          <w:sz w:val="24"/>
          <w:szCs w:val="24"/>
        </w:rPr>
        <w:t xml:space="preserve"> (16 000 </w:t>
      </w:r>
      <w:proofErr w:type="spellStart"/>
      <w:r w:rsidRPr="006A46D0">
        <w:rPr>
          <w:rFonts w:asciiTheme="majorHAnsi" w:hAnsiTheme="majorHAnsi" w:cstheme="majorHAnsi"/>
          <w:color w:val="808080" w:themeColor="background1" w:themeShade="80"/>
          <w:sz w:val="24"/>
          <w:szCs w:val="24"/>
        </w:rPr>
        <w:t>characters</w:t>
      </w:r>
      <w:proofErr w:type="spellEnd"/>
      <w:r w:rsidRPr="006A46D0">
        <w:rPr>
          <w:rFonts w:asciiTheme="majorHAnsi" w:hAnsiTheme="majorHAnsi" w:cstheme="majorHAnsi"/>
          <w:color w:val="808080" w:themeColor="background1" w:themeShade="80"/>
          <w:sz w:val="24"/>
          <w:szCs w:val="24"/>
        </w:rPr>
        <w:t xml:space="preserve">) </w:t>
      </w:r>
    </w:p>
    <w:p w14:paraId="6A36F176" w14:textId="77777777" w:rsidR="00612B49" w:rsidRPr="006A46D0" w:rsidRDefault="00612B49" w:rsidP="006A46D0">
      <w:pPr>
        <w:pStyle w:val="Heading3"/>
        <w:spacing w:after="120" w:line="240" w:lineRule="auto"/>
        <w:rPr>
          <w:rFonts w:asciiTheme="majorHAnsi" w:hAnsiTheme="majorHAnsi" w:cstheme="majorHAnsi"/>
        </w:rPr>
      </w:pPr>
      <w:bookmarkStart w:id="5" w:name="_ix7nct5vujek" w:colFirst="0" w:colLast="0"/>
      <w:bookmarkEnd w:id="5"/>
    </w:p>
    <w:p w14:paraId="58DA29B6" w14:textId="77777777" w:rsidR="00612B49" w:rsidRPr="006A46D0" w:rsidRDefault="006A46D0" w:rsidP="00320586">
      <w:pPr>
        <w:tabs>
          <w:tab w:val="left" w:pos="8364"/>
        </w:tabs>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Frontiera de stat a României are o lungime de aproximativ 3.150 de kilometri, ce acoperă toate tipurile de frontieră: terestră, maritimă și aeriană. Din aceștia, 2.070 km face parte din asigură frontiera externă a Uniunii Europene, 1.845 km fiind frontieră terestră , iar aproximativ 196 km fiind frontieră maritimă.</w:t>
      </w:r>
    </w:p>
    <w:p w14:paraId="5991A9CB" w14:textId="77777777" w:rsidR="00612B49" w:rsidRPr="006A46D0" w:rsidRDefault="006A46D0" w:rsidP="00320586">
      <w:pPr>
        <w:tabs>
          <w:tab w:val="left" w:pos="8364"/>
        </w:tabs>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lastRenderedPageBreak/>
        <w:t>Diversitatea frontierei, dar și riscurile transfrontaliere prognozate ca urmare a poziționării geo-strategice a țării au impus necesitatea creării unui Sistem Integrat de Securizare a Frontierei (SISF), capabil să asigure un înalt nivel de supraveghere și control al frontierelor, în beneficiul societății, al propriilor cetățeni, dar și al tuturor cetățenilor europeni.</w:t>
      </w:r>
    </w:p>
    <w:p w14:paraId="442BB646" w14:textId="77777777" w:rsidR="00612B49" w:rsidRPr="006A46D0" w:rsidRDefault="006A46D0" w:rsidP="00320586">
      <w:pPr>
        <w:tabs>
          <w:tab w:val="left" w:pos="8364"/>
        </w:tabs>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Potrivit datelor din ultimii trei ani, traficul de călători prin punctele de trecere a frontierei a înregistrat o creștere de 5,6 % în anul 2018, comparativ  cu anul 2017, iar în anul 2019 a crescut cu 10,7 %. Astfel, în anul 2017 traficul a fost de 59.714.986 de călători, în 2018 – 63.044.794 (în creștere cu 5,6 %), iar în 2019 – 69.784.272 (în creștere cu 10,7 %).</w:t>
      </w:r>
    </w:p>
    <w:p w14:paraId="5BFC79FD" w14:textId="77777777" w:rsidR="00612B49" w:rsidRPr="006A46D0" w:rsidRDefault="006A46D0" w:rsidP="00320586">
      <w:pPr>
        <w:tabs>
          <w:tab w:val="left" w:pos="8364"/>
        </w:tabs>
        <w:spacing w:after="120" w:line="240" w:lineRule="auto"/>
        <w:ind w:right="-1"/>
        <w:jc w:val="both"/>
        <w:rPr>
          <w:rFonts w:asciiTheme="majorHAnsi" w:eastAsia="Arial Narrow" w:hAnsiTheme="majorHAnsi" w:cstheme="majorHAnsi"/>
          <w:sz w:val="24"/>
          <w:szCs w:val="24"/>
        </w:rPr>
      </w:pPr>
      <w:r w:rsidRPr="006A46D0">
        <w:rPr>
          <w:rFonts w:asciiTheme="majorHAnsi" w:eastAsia="Arial" w:hAnsiTheme="majorHAnsi" w:cstheme="majorHAnsi"/>
          <w:sz w:val="24"/>
          <w:szCs w:val="24"/>
        </w:rPr>
        <w:t>Din punct de vedere al tipului de trafic, cea mai mare pondere au avut-o cel terestru (aproximativ 70% în fiecare dintre cei trei ani) și  aeroportuar (aproximativ 30%), în timp ce traficul portuar a reprezentat un procent de sub 0,5%.</w:t>
      </w:r>
    </w:p>
    <w:p w14:paraId="7FE0C196" w14:textId="77777777" w:rsidR="00612B49" w:rsidRPr="006A46D0" w:rsidRDefault="006A46D0" w:rsidP="00320586">
      <w:pPr>
        <w:tabs>
          <w:tab w:val="left" w:pos="8364"/>
        </w:tabs>
        <w:spacing w:after="120" w:line="240" w:lineRule="auto"/>
        <w:ind w:left="860"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 </w:t>
      </w:r>
    </w:p>
    <w:p w14:paraId="6C6FA029" w14:textId="77777777" w:rsidR="00612B49" w:rsidRPr="006A46D0" w:rsidRDefault="006A46D0" w:rsidP="00320586">
      <w:pPr>
        <w:tabs>
          <w:tab w:val="left" w:pos="8364"/>
        </w:tabs>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RO își propune asigurarea unui nivel înalt și permanent de monitorizare a frontierei României, necesar pentru combaterea fluxurilor migratorii în continuă creștere și a criminalității transfrontaliere. În vederea atingerii acestuia, RO vizează :</w:t>
      </w:r>
    </w:p>
    <w:p w14:paraId="11602ABA" w14:textId="5AC3D069" w:rsidR="00612B49" w:rsidRPr="006A46D0" w:rsidRDefault="006A46D0" w:rsidP="00320586">
      <w:pPr>
        <w:pStyle w:val="ListParagraph"/>
        <w:numPr>
          <w:ilvl w:val="0"/>
          <w:numId w:val="6"/>
        </w:numPr>
        <w:tabs>
          <w:tab w:val="left" w:pos="8364"/>
        </w:tabs>
        <w:spacing w:after="120" w:line="240" w:lineRule="auto"/>
        <w:ind w:right="-1"/>
        <w:jc w:val="both"/>
        <w:rPr>
          <w:rFonts w:asciiTheme="majorHAnsi" w:eastAsia="Arial Narrow" w:hAnsiTheme="majorHAnsi" w:cstheme="majorHAnsi"/>
          <w:sz w:val="24"/>
          <w:szCs w:val="24"/>
        </w:rPr>
      </w:pPr>
      <w:r w:rsidRPr="006A46D0">
        <w:rPr>
          <w:rFonts w:asciiTheme="majorHAnsi" w:eastAsia="Arial" w:hAnsiTheme="majorHAnsi" w:cstheme="majorHAnsi"/>
          <w:sz w:val="24"/>
          <w:szCs w:val="24"/>
        </w:rPr>
        <w:t>Implementarea de noi tehnologii de supraveghere la frontiera României, extinderea mijloacelor tehnice de supraveghere a frontierei terestre, maritime/fluviale și aeriene aflate în dotarea structurilor PFR</w:t>
      </w:r>
    </w:p>
    <w:p w14:paraId="3153CF5A" w14:textId="1F586E32" w:rsidR="00612B49" w:rsidRPr="006A46D0" w:rsidRDefault="006A46D0" w:rsidP="00320586">
      <w:pPr>
        <w:pStyle w:val="ListParagraph"/>
        <w:numPr>
          <w:ilvl w:val="0"/>
          <w:numId w:val="6"/>
        </w:numPr>
        <w:tabs>
          <w:tab w:val="left" w:pos="8364"/>
        </w:tabs>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Consolidarea capacităților tehnice necesare pentru efectuarea de controale și operațiuni de supraveghere la frontierele externe, inclusiv prin măsuri de prevenire și depistare a criminalității transfrontaliere, cum ar fi introducerea ilegală de </w:t>
      </w:r>
      <w:proofErr w:type="spellStart"/>
      <w:r w:rsidRPr="006A46D0">
        <w:rPr>
          <w:rFonts w:asciiTheme="majorHAnsi" w:eastAsia="Arial Narrow" w:hAnsiTheme="majorHAnsi" w:cstheme="majorHAnsi"/>
          <w:sz w:val="24"/>
          <w:szCs w:val="24"/>
        </w:rPr>
        <w:t>migranți</w:t>
      </w:r>
      <w:proofErr w:type="spellEnd"/>
      <w:r w:rsidRPr="006A46D0">
        <w:rPr>
          <w:rFonts w:asciiTheme="majorHAnsi" w:eastAsia="Arial Narrow" w:hAnsiTheme="majorHAnsi" w:cstheme="majorHAnsi"/>
          <w:sz w:val="24"/>
          <w:szCs w:val="24"/>
        </w:rPr>
        <w:t>, traficul de persoane și terorismul</w:t>
      </w:r>
    </w:p>
    <w:p w14:paraId="774688DB" w14:textId="1BB2F549" w:rsidR="00612B49" w:rsidRPr="006A46D0" w:rsidRDefault="006A46D0" w:rsidP="00320586">
      <w:pPr>
        <w:pStyle w:val="ListParagraph"/>
        <w:numPr>
          <w:ilvl w:val="0"/>
          <w:numId w:val="6"/>
        </w:numPr>
        <w:tabs>
          <w:tab w:val="left" w:pos="8364"/>
        </w:tabs>
        <w:spacing w:after="120" w:line="240" w:lineRule="auto"/>
        <w:ind w:right="-1"/>
        <w:jc w:val="both"/>
        <w:rPr>
          <w:rFonts w:asciiTheme="majorHAnsi" w:eastAsia="Arial Narrow" w:hAnsiTheme="majorHAnsi" w:cstheme="majorHAnsi"/>
          <w:sz w:val="24"/>
          <w:szCs w:val="24"/>
        </w:rPr>
      </w:pPr>
      <w:r w:rsidRPr="006A46D0">
        <w:rPr>
          <w:rFonts w:asciiTheme="majorHAnsi" w:eastAsia="Arial" w:hAnsiTheme="majorHAnsi" w:cstheme="majorHAnsi"/>
          <w:sz w:val="24"/>
          <w:szCs w:val="24"/>
        </w:rPr>
        <w:t>Modernizarea și dezvoltarea sistemelor de supraveghere a frontierelor terestre și maritime</w:t>
      </w:r>
    </w:p>
    <w:p w14:paraId="67FD3F9A" w14:textId="4920F073" w:rsidR="00612B49" w:rsidRPr="006A46D0" w:rsidRDefault="006A46D0" w:rsidP="00320586">
      <w:pPr>
        <w:pStyle w:val="ListParagraph"/>
        <w:numPr>
          <w:ilvl w:val="0"/>
          <w:numId w:val="6"/>
        </w:numPr>
        <w:tabs>
          <w:tab w:val="left" w:pos="8364"/>
        </w:tabs>
        <w:spacing w:after="120" w:line="240" w:lineRule="auto"/>
        <w:ind w:right="-1"/>
        <w:jc w:val="both"/>
        <w:rPr>
          <w:rFonts w:asciiTheme="majorHAnsi" w:eastAsia="Arial Narrow" w:hAnsiTheme="majorHAnsi" w:cstheme="majorHAnsi"/>
          <w:sz w:val="24"/>
          <w:szCs w:val="24"/>
        </w:rPr>
      </w:pPr>
      <w:r w:rsidRPr="006A46D0">
        <w:rPr>
          <w:rFonts w:asciiTheme="majorHAnsi" w:eastAsia="Arial" w:hAnsiTheme="majorHAnsi" w:cstheme="majorHAnsi"/>
          <w:sz w:val="24"/>
          <w:szCs w:val="24"/>
        </w:rPr>
        <w:t>Modernizarea și extinderea sistemului de comunicații voce-date/informatic al PFR</w:t>
      </w:r>
    </w:p>
    <w:p w14:paraId="797DF57F" w14:textId="2FC2F28B" w:rsidR="00612B49" w:rsidRPr="006A46D0" w:rsidRDefault="006A46D0" w:rsidP="00320586">
      <w:pPr>
        <w:pStyle w:val="ListParagraph"/>
        <w:numPr>
          <w:ilvl w:val="0"/>
          <w:numId w:val="6"/>
        </w:numPr>
        <w:tabs>
          <w:tab w:val="left" w:pos="8364"/>
        </w:tabs>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Extindere sistem automat de verificare a documentelor de călătorie în aeroporturi</w:t>
      </w:r>
    </w:p>
    <w:p w14:paraId="70400152" w14:textId="1D585A15" w:rsidR="00612B49" w:rsidRPr="006A46D0" w:rsidRDefault="006A46D0" w:rsidP="00320586">
      <w:pPr>
        <w:pStyle w:val="ListParagraph"/>
        <w:numPr>
          <w:ilvl w:val="0"/>
          <w:numId w:val="6"/>
        </w:numPr>
        <w:tabs>
          <w:tab w:val="left" w:pos="8364"/>
        </w:tabs>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Îmbunătățirea activității de organizare, planificare, executare și monitorizare a misiunilor de control la frontieră</w:t>
      </w:r>
    </w:p>
    <w:p w14:paraId="627F8E1D" w14:textId="693E81D3" w:rsidR="00612B49" w:rsidRPr="006A46D0" w:rsidRDefault="006A46D0" w:rsidP="00320586">
      <w:pPr>
        <w:pStyle w:val="ListParagraph"/>
        <w:numPr>
          <w:ilvl w:val="0"/>
          <w:numId w:val="6"/>
        </w:numPr>
        <w:tabs>
          <w:tab w:val="left" w:pos="8364"/>
        </w:tabs>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Reabilitarea/reamenajare sediilor autorităților naționale implicate în managementul frontierei</w:t>
      </w:r>
    </w:p>
    <w:p w14:paraId="527BDAF5" w14:textId="77777777" w:rsidR="00612B49" w:rsidRPr="006A46D0" w:rsidRDefault="006A46D0" w:rsidP="00320586">
      <w:pPr>
        <w:tabs>
          <w:tab w:val="left" w:pos="8364"/>
        </w:tabs>
        <w:spacing w:after="120" w:line="240" w:lineRule="auto"/>
        <w:ind w:left="140" w:right="-1"/>
        <w:jc w:val="both"/>
        <w:rPr>
          <w:rFonts w:asciiTheme="majorHAnsi" w:eastAsia="Arial Narrow" w:hAnsiTheme="majorHAnsi" w:cstheme="majorHAnsi"/>
          <w:sz w:val="24"/>
          <w:szCs w:val="24"/>
        </w:rPr>
      </w:pPr>
      <w:r w:rsidRPr="006A46D0">
        <w:rPr>
          <w:rFonts w:asciiTheme="majorHAnsi" w:eastAsia="Arial" w:hAnsiTheme="majorHAnsi" w:cstheme="majorHAnsi"/>
          <w:sz w:val="24"/>
          <w:szCs w:val="24"/>
        </w:rPr>
        <w:t xml:space="preserve">În ceea ce privește implementarea și dezvoltarea </w:t>
      </w:r>
      <w:r w:rsidRPr="006A46D0">
        <w:rPr>
          <w:rFonts w:asciiTheme="majorHAnsi" w:eastAsia="Arial Narrow" w:hAnsiTheme="majorHAnsi" w:cstheme="majorHAnsi"/>
          <w:b/>
          <w:sz w:val="24"/>
          <w:szCs w:val="24"/>
        </w:rPr>
        <w:t>EUROSUR</w:t>
      </w:r>
      <w:r w:rsidRPr="006A46D0">
        <w:rPr>
          <w:rFonts w:asciiTheme="majorHAnsi" w:eastAsia="Arial Narrow" w:hAnsiTheme="majorHAnsi" w:cstheme="majorHAnsi"/>
          <w:sz w:val="24"/>
          <w:szCs w:val="24"/>
        </w:rPr>
        <w:t>, prin Programul Național Fondul pentru Securitate Internă aferent CFM 2014 – 2020, au fost realizate 4 centre regionale de coordonare la ITPF Sighetu Marmației, ITPF Timișoara, ITPF Iași, Garda de Coastă prin care se realizează integrarea tuturor imaginilor obținute de la senzorii instalați la frontiera externă, iar printr-un alt proiect derulat în cadrul aceluiași fond se vor extinde centrele regionale și la nivelul altor două Inspectorate Teritoriale ale Poliției de Frontieră, respectiv Oradea și Giurgiu.</w:t>
      </w:r>
    </w:p>
    <w:p w14:paraId="748BBC79" w14:textId="77777777" w:rsidR="00612B49" w:rsidRPr="006A46D0" w:rsidRDefault="006A46D0" w:rsidP="00320586">
      <w:pPr>
        <w:tabs>
          <w:tab w:val="left" w:pos="8364"/>
        </w:tabs>
        <w:spacing w:after="120" w:line="240" w:lineRule="auto"/>
        <w:ind w:left="140"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RO își propune extinderea rețelei de comunicații a EUROSUR la nivelul Centrelor Locale de Coordonare, pentru a permite îmbunătățirea schimbului de informații sensibile neclasificate și de informații clasificate într-un mediu securizat și în timp aproape real cu centrul național de coordonare și pentru realizarea unei gestionări integrate eficace a frontierelor externe. Prin crearea de centre locale de coordonare, în conformitate cu prevederile Regulamentului (UE) 2019/1896, va fi îmbunătățită conștientizarea situației operative la nivelul fiecărei secțiuni de frontieră în parte și va determina creșterea capacității de reacție, asigurând totodată transmiterea informațiilor relevante pentru cadrul EUROSUR în timp real.</w:t>
      </w:r>
    </w:p>
    <w:p w14:paraId="2FCA5522" w14:textId="77777777" w:rsidR="00612B49" w:rsidRPr="006A46D0" w:rsidRDefault="006A46D0" w:rsidP="00320586">
      <w:pPr>
        <w:tabs>
          <w:tab w:val="left" w:pos="8364"/>
        </w:tabs>
        <w:spacing w:after="120" w:line="240" w:lineRule="auto"/>
        <w:ind w:left="140"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De asemenea, acțiunile RO vizează interconectarea rețelelor și sistemelor de la nivel național cu rețeaua de comunicații EUROSUR și automatizarea schimbului de informații .Calitatea informațiilor transmise către statele membre și agenție și promptitudinea acestui schimb de informații sunt condiții prealabile pentru buna funcționare a gestionării europene integrate a frontierelor. Automatizarea schimbului de informații prin interconectarea sistemului național cu rețeaua de comunicații EUROSUR, precum și asigurarea informațiilor și controlul calității datelor și </w:t>
      </w:r>
      <w:r w:rsidRPr="006A46D0">
        <w:rPr>
          <w:rFonts w:asciiTheme="majorHAnsi" w:eastAsia="Arial Narrow" w:hAnsiTheme="majorHAnsi" w:cstheme="majorHAnsi"/>
          <w:sz w:val="24"/>
          <w:szCs w:val="24"/>
        </w:rPr>
        <w:lastRenderedPageBreak/>
        <w:t>informațiilor transmise reprezintă elemente esențiale care trebuie asigurate în baza prevederilor Regulamentului UE 1896/2019.</w:t>
      </w:r>
    </w:p>
    <w:p w14:paraId="6CD50874" w14:textId="20DE20B9" w:rsidR="00612B49" w:rsidRPr="006A46D0" w:rsidRDefault="006A46D0" w:rsidP="00320586">
      <w:pPr>
        <w:tabs>
          <w:tab w:val="left" w:pos="8364"/>
        </w:tabs>
        <w:spacing w:after="120" w:line="240" w:lineRule="auto"/>
        <w:ind w:left="140"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În cadrul dezvoltării </w:t>
      </w:r>
      <w:r w:rsidRPr="006A46D0">
        <w:rPr>
          <w:rFonts w:asciiTheme="majorHAnsi" w:eastAsia="Arial" w:hAnsiTheme="majorHAnsi" w:cstheme="majorHAnsi"/>
          <w:b/>
          <w:sz w:val="24"/>
          <w:szCs w:val="24"/>
        </w:rPr>
        <w:t>EES și ETIAS</w:t>
      </w:r>
      <w:r w:rsidRPr="006A46D0">
        <w:rPr>
          <w:rFonts w:asciiTheme="majorHAnsi" w:eastAsia="Arial Narrow" w:hAnsiTheme="majorHAnsi" w:cstheme="majorHAnsi"/>
          <w:sz w:val="24"/>
          <w:szCs w:val="24"/>
        </w:rPr>
        <w:t xml:space="preserve">, la nivelul RO, au fost luate măsurile necesare pentru punerea în executare a regulamentelor de instituire a celor două sisteme, inclusiv ajustările instituționale necesare în acest sens, au fost constituite echipele de proiect, comune pentru EES și ETIAS, a fost întocmit și aprobat planul de management pentru implementarea celor două sisteme, cuprinzând acțiuni concrete și termene corelate cu cele din planificarea generală. De asemenea, au fost identificate nevoile de pregătire aferente celor două sisteme. Aceste nevoi au fost comunicate agențiilor europene care vor furniza pregătirea pentru statele membre în vederea operaționalizării și operării EES și ETIAS (eu-LISA, FRONTEX și CEPOL – pentru partea de EES) și, în funcție de oferta educațională și posibilitățile concrete de asigurare a pregătirii de aceste agenții, se elaborează în prezent planul național de pregătire a utilizatorilor finali EES și ETIAS de la nivel PFR. Procesul de pregătire a polițiștilor de frontieră din linia I și linia a II-a de control a fost inițiat, prin parcurgerea unui modul on-line furnizat de către agenția </w:t>
      </w:r>
      <w:proofErr w:type="spellStart"/>
      <w:r w:rsidRPr="006A46D0">
        <w:rPr>
          <w:rFonts w:asciiTheme="majorHAnsi" w:eastAsia="Arial Narrow" w:hAnsiTheme="majorHAnsi" w:cstheme="majorHAnsi"/>
          <w:sz w:val="24"/>
          <w:szCs w:val="24"/>
        </w:rPr>
        <w:t>Frontex</w:t>
      </w:r>
      <w:proofErr w:type="spellEnd"/>
      <w:r w:rsidRPr="006A46D0">
        <w:rPr>
          <w:rFonts w:asciiTheme="majorHAnsi" w:eastAsia="Arial Narrow" w:hAnsiTheme="majorHAnsi" w:cstheme="majorHAnsi"/>
          <w:sz w:val="24"/>
          <w:szCs w:val="24"/>
        </w:rPr>
        <w:t>.</w:t>
      </w:r>
    </w:p>
    <w:p w14:paraId="43B23092" w14:textId="77777777" w:rsidR="00612B49" w:rsidRPr="006A46D0" w:rsidRDefault="006A46D0" w:rsidP="00320586">
      <w:pPr>
        <w:tabs>
          <w:tab w:val="left" w:pos="8364"/>
        </w:tabs>
        <w:spacing w:after="120" w:line="240" w:lineRule="auto"/>
        <w:ind w:left="140"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Prin Programul Național Fondul pentru Securitate Internă aferent cadrului financiar multianual 2014-2020 se vor achiziționa echipamente de control fixe și mobile, precum și o soluție de consolidare a infrastructurii de comunicații de date, o platformă de colaborare între punctele Centrale de Acces EES și ETIAS și structurile naționale. De asemenea, au avut loc discuții interinstituționale pentru ridicarea nivelului de conștientizare în rândul autorităților desemnate cu privire la drepturile pe care le vor avea şi cu privire la obligațiile care le vor reveni după operaționalizarea EES şi ETIAS, precum şi în vederea definitivării cerințelor operaționale ale platformei de colaborare.</w:t>
      </w:r>
    </w:p>
    <w:p w14:paraId="25FE1E97" w14:textId="77777777" w:rsidR="00612B49" w:rsidRPr="006A46D0" w:rsidRDefault="006A46D0" w:rsidP="00320586">
      <w:pPr>
        <w:tabs>
          <w:tab w:val="left" w:pos="8364"/>
        </w:tabs>
        <w:spacing w:after="120" w:line="240" w:lineRule="auto"/>
        <w:ind w:left="140"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Pentru punerea în aplicare a Sistemului de intrare/ieșire în conformitate cu articolul 64 alin. (1) și (2) din Regulamentul (UE) nr. 2017/2226, la nivelul autorităților naționale cu competențe în implementarea EES nevoile identificate sunt  finanțate din FSI 2014-2020.</w:t>
      </w:r>
    </w:p>
    <w:p w14:paraId="20E8609F" w14:textId="77777777" w:rsidR="00612B49" w:rsidRPr="006A46D0" w:rsidRDefault="006A46D0" w:rsidP="00320586">
      <w:pPr>
        <w:tabs>
          <w:tab w:val="left" w:pos="8364"/>
        </w:tabs>
        <w:spacing w:after="120" w:line="240" w:lineRule="auto"/>
        <w:ind w:left="140"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La nivelul Poliției de Frontieră Române sunt în curs de elaborare procedurile de lucru operaționale pentru fiecare sistem în parte, pe baza fluxurilor de control la frontieră modificate pentru a fi adaptate cerințelor suplimentare impuse de EES și ETIAS.</w:t>
      </w:r>
    </w:p>
    <w:p w14:paraId="0DCF7E78" w14:textId="77777777" w:rsidR="00612B49" w:rsidRPr="006A46D0" w:rsidRDefault="006A46D0" w:rsidP="00320586">
      <w:pPr>
        <w:tabs>
          <w:tab w:val="left" w:pos="8364"/>
        </w:tabs>
        <w:spacing w:after="120" w:line="240" w:lineRule="auto"/>
        <w:ind w:left="140"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Perioada 2021-2027 se suprapune parțial cu etapa de pregătire pentru operaționalizarea EES (preconizat a fi operațional din februarie 2022) și ETIAS (preconizat a fi operațional din decembrie 2022), precum și cu perioada post-operaționalizare / operare a celor două sisteme.</w:t>
      </w:r>
    </w:p>
    <w:p w14:paraId="6C3378BD" w14:textId="77777777" w:rsidR="00612B49" w:rsidRPr="006A46D0" w:rsidRDefault="006A46D0" w:rsidP="00320586">
      <w:pPr>
        <w:tabs>
          <w:tab w:val="left" w:pos="8364"/>
        </w:tabs>
        <w:spacing w:after="120" w:line="240" w:lineRule="auto"/>
        <w:ind w:left="140"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Ca atare, prin prisma propunerilor de proiecte deja incluse în cadrul PN FSI 2014-2020, prin PN IMFV, RO își propune dezvoltarea Unității Naționale ETIAS din punct de vedere al infrastructurii, precum și/sau  dezvoltarea/ modernizarea software pentru Unitatea Națională ETIAS, a căror necesitate să derive din evoluțiile înregistrate în primii ani de operare a sistemului, precum și din eventuale modificări ale bazei legale ori specificațiilor tehnice ale sistemului.</w:t>
      </w:r>
    </w:p>
    <w:p w14:paraId="159206BA" w14:textId="1A7F0C3D" w:rsidR="00612B49" w:rsidRPr="006A46D0" w:rsidRDefault="006A46D0" w:rsidP="00320586">
      <w:pPr>
        <w:tabs>
          <w:tab w:val="left" w:pos="8364"/>
        </w:tabs>
        <w:spacing w:after="120" w:line="240" w:lineRule="auto"/>
        <w:ind w:left="140" w:right="-1"/>
        <w:jc w:val="both"/>
        <w:rPr>
          <w:rFonts w:asciiTheme="majorHAnsi" w:eastAsia="Arial Narrow" w:hAnsiTheme="majorHAnsi" w:cstheme="majorHAnsi"/>
          <w:sz w:val="24"/>
          <w:szCs w:val="24"/>
        </w:rPr>
      </w:pPr>
      <w:r w:rsidRPr="006A46D0">
        <w:rPr>
          <w:rFonts w:asciiTheme="majorHAnsi" w:eastAsia="Arial" w:hAnsiTheme="majorHAnsi" w:cstheme="majorHAnsi"/>
          <w:b/>
          <w:sz w:val="24"/>
          <w:szCs w:val="24"/>
        </w:rPr>
        <w:t>SIS II și Biroul SIRENE</w:t>
      </w:r>
      <w:r w:rsidRPr="006A46D0">
        <w:rPr>
          <w:rFonts w:asciiTheme="majorHAnsi" w:eastAsia="Arial Narrow" w:hAnsiTheme="majorHAnsi" w:cstheme="majorHAnsi"/>
          <w:sz w:val="24"/>
          <w:szCs w:val="24"/>
        </w:rPr>
        <w:t xml:space="preserve"> reprezintă instrumente fundamentale în cooperarea polițienească internațională, iar implementarea acestora reprezintă o condiție obligatorie în perspectiva aderării României la Spațiul Schengen. În vederea îndeplinirii de către N.SIS II a cerințelor de disponibilitate și securitate ale SIS II, precum și pentru asigurarea unui înalt nivel de continuitate a serviciilor de business ale sistemului, atât din perspectiva interconectării cu sistemele autorităților naționale cu atribuții în SIS II, cât și din perspectiva interconectării cu Sistemul Central SIS II, complementar serviciilor de mentenanță și suport tehnic aferente N.SIS II actual, RO a modernizat și dezvoltat sistemul informatic național N.SIS II, pentru a asigura, în principal, creșterea capacităților globale de procesare, transport și stocare date. Sistemul informatic SIRENE a fost modernizat și actualizat în anul 2019, conform cerințelor de business existente la momentul respectiv.</w:t>
      </w:r>
    </w:p>
    <w:p w14:paraId="1E18CEC3" w14:textId="77777777" w:rsidR="00612B49" w:rsidRPr="006A46D0" w:rsidRDefault="006A46D0" w:rsidP="00320586">
      <w:pPr>
        <w:tabs>
          <w:tab w:val="left" w:pos="8364"/>
        </w:tabs>
        <w:spacing w:after="120" w:line="240" w:lineRule="auto"/>
        <w:ind w:left="140"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Conform Regulamentului nr. 1862/2018, RO întreprinde măsuri pentru implementarea căutării după amprentă în SIS (</w:t>
      </w:r>
      <w:r w:rsidRPr="006A46D0">
        <w:rPr>
          <w:rFonts w:asciiTheme="majorHAnsi" w:eastAsia="Arial Narrow" w:hAnsiTheme="majorHAnsi" w:cstheme="majorHAnsi"/>
          <w:b/>
          <w:sz w:val="24"/>
          <w:szCs w:val="24"/>
        </w:rPr>
        <w:t>AFIS</w:t>
      </w:r>
      <w:r w:rsidRPr="006A46D0">
        <w:rPr>
          <w:rFonts w:asciiTheme="majorHAnsi" w:eastAsia="Arial Narrow" w:hAnsiTheme="majorHAnsi" w:cstheme="majorHAnsi"/>
          <w:sz w:val="24"/>
          <w:szCs w:val="24"/>
        </w:rPr>
        <w:t xml:space="preserve">), având termen de implementare decembrie 2020 prin adaptarea/ </w:t>
      </w:r>
      <w:r w:rsidRPr="006A46D0">
        <w:rPr>
          <w:rFonts w:asciiTheme="majorHAnsi" w:eastAsia="Arial Narrow" w:hAnsiTheme="majorHAnsi" w:cstheme="majorHAnsi"/>
          <w:sz w:val="24"/>
          <w:szCs w:val="24"/>
        </w:rPr>
        <w:lastRenderedPageBreak/>
        <w:t>dezvoltarea aplicațiilor proprii pentru integrarea specificațiilor tehnice, identificarea nevoilor hardware, precum și prin pregătirea utilizatorilor pentru noile funcționalități.</w:t>
      </w:r>
    </w:p>
    <w:p w14:paraId="38C0C35E" w14:textId="77777777" w:rsidR="00612B49" w:rsidRPr="006A46D0" w:rsidRDefault="006A46D0" w:rsidP="00320586">
      <w:pPr>
        <w:tabs>
          <w:tab w:val="left" w:pos="8364"/>
        </w:tabs>
        <w:spacing w:after="120" w:line="240" w:lineRule="auto"/>
        <w:ind w:left="140"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În virtutea reglementărilor de la nivel global din ultimii ani, prin adoptarea Regulamentelor 817/2019 și 818/2019 care reglementează instituirea unui cadru pentru interoperabilitatea dintre sistemele de informații ale UE, RO, ca și celelalte State Membre trebuie să fie pregătită pentru integrarea sistemelor naționale și dezvoltarea instrumentelor necesare de interconectare cu nodul central. Așadar, RO prin punctul central de acces în domeniul biometriei, va trebui să utilizeze datele </w:t>
      </w:r>
      <w:proofErr w:type="spellStart"/>
      <w:r w:rsidRPr="006A46D0">
        <w:rPr>
          <w:rFonts w:asciiTheme="majorHAnsi" w:eastAsia="Arial Narrow" w:hAnsiTheme="majorHAnsi" w:cstheme="majorHAnsi"/>
          <w:sz w:val="24"/>
          <w:szCs w:val="24"/>
        </w:rPr>
        <w:t>biometrice</w:t>
      </w:r>
      <w:proofErr w:type="spellEnd"/>
      <w:r w:rsidRPr="006A46D0">
        <w:rPr>
          <w:rFonts w:asciiTheme="majorHAnsi" w:eastAsia="Arial Narrow" w:hAnsiTheme="majorHAnsi" w:cstheme="majorHAnsi"/>
          <w:sz w:val="24"/>
          <w:szCs w:val="24"/>
        </w:rPr>
        <w:t xml:space="preserve"> (amprente și imagini faciale) prin intermediul unor mecanisme securizate și optimizate conform reglementărilor unitare elaborate la nivelul eu-LISA în scopul stabilirii identității unei anumite persoane, inclusiv pentru identificarea rămășițelor umane neidentificate sau a persoanelor necunoscute, în cazul unei catastrofe naturale sau al unui accident.</w:t>
      </w:r>
    </w:p>
    <w:p w14:paraId="5613AD49" w14:textId="77777777" w:rsidR="00612B49" w:rsidRPr="006A46D0" w:rsidRDefault="006A46D0" w:rsidP="00320586">
      <w:pPr>
        <w:tabs>
          <w:tab w:val="left" w:pos="8364"/>
        </w:tabs>
        <w:spacing w:after="120" w:line="240" w:lineRule="auto"/>
        <w:ind w:left="140"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 </w:t>
      </w:r>
    </w:p>
    <w:p w14:paraId="4BEBB5F1" w14:textId="77777777" w:rsidR="00612B49" w:rsidRPr="006A46D0" w:rsidRDefault="006A46D0" w:rsidP="00320586">
      <w:pPr>
        <w:tabs>
          <w:tab w:val="left" w:pos="8364"/>
        </w:tabs>
        <w:spacing w:after="120" w:line="240" w:lineRule="auto"/>
        <w:ind w:left="140"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Astfel, prin PN IMFV în cadrul Obiectivului specific 1, se </w:t>
      </w:r>
      <w:r w:rsidRPr="006A46D0">
        <w:rPr>
          <w:rFonts w:asciiTheme="majorHAnsi" w:eastAsia="Arial Narrow" w:hAnsiTheme="majorHAnsi" w:cstheme="majorHAnsi"/>
          <w:b/>
          <w:sz w:val="24"/>
          <w:szCs w:val="24"/>
        </w:rPr>
        <w:t>vor implementa următoarele măsuri</w:t>
      </w:r>
      <w:r w:rsidRPr="006A46D0">
        <w:rPr>
          <w:rFonts w:asciiTheme="majorHAnsi" w:eastAsia="Arial Narrow" w:hAnsiTheme="majorHAnsi" w:cstheme="majorHAnsi"/>
          <w:sz w:val="24"/>
          <w:szCs w:val="24"/>
        </w:rPr>
        <w:t>:</w:t>
      </w:r>
    </w:p>
    <w:p w14:paraId="2CAFB206" w14:textId="3D747A7F" w:rsidR="00612B49" w:rsidRPr="00320586" w:rsidRDefault="006A46D0" w:rsidP="00320586">
      <w:pPr>
        <w:pStyle w:val="ListParagraph"/>
        <w:numPr>
          <w:ilvl w:val="0"/>
          <w:numId w:val="3"/>
        </w:numPr>
        <w:tabs>
          <w:tab w:val="left" w:pos="8364"/>
        </w:tabs>
        <w:spacing w:after="120" w:line="240" w:lineRule="auto"/>
        <w:ind w:left="500" w:right="-1"/>
        <w:jc w:val="both"/>
        <w:rPr>
          <w:rFonts w:asciiTheme="majorHAnsi" w:eastAsia="Arial Narrow" w:hAnsiTheme="majorHAnsi" w:cstheme="majorHAnsi"/>
          <w:sz w:val="24"/>
          <w:szCs w:val="24"/>
        </w:rPr>
      </w:pPr>
      <w:r w:rsidRPr="00320586">
        <w:rPr>
          <w:rFonts w:asciiTheme="majorHAnsi" w:eastAsia="Arial Narrow" w:hAnsiTheme="majorHAnsi" w:cstheme="majorHAnsi"/>
          <w:sz w:val="24"/>
          <w:szCs w:val="24"/>
        </w:rPr>
        <w:t>îmbunătățirea controlului la frontiere</w:t>
      </w:r>
    </w:p>
    <w:p w14:paraId="6B4D50FE" w14:textId="270FF7AD" w:rsidR="00612B49" w:rsidRPr="00320586" w:rsidRDefault="006A46D0" w:rsidP="00320586">
      <w:pPr>
        <w:pStyle w:val="ListParagraph"/>
        <w:numPr>
          <w:ilvl w:val="0"/>
          <w:numId w:val="3"/>
        </w:numPr>
        <w:tabs>
          <w:tab w:val="left" w:pos="8364"/>
        </w:tabs>
        <w:spacing w:after="120" w:line="240" w:lineRule="auto"/>
        <w:ind w:left="500" w:right="-1"/>
        <w:jc w:val="both"/>
        <w:rPr>
          <w:rFonts w:asciiTheme="majorHAnsi" w:eastAsia="Arial Narrow" w:hAnsiTheme="majorHAnsi" w:cstheme="majorHAnsi"/>
          <w:sz w:val="24"/>
          <w:szCs w:val="24"/>
        </w:rPr>
      </w:pPr>
      <w:r w:rsidRPr="00320586">
        <w:rPr>
          <w:rFonts w:asciiTheme="majorHAnsi" w:eastAsia="Arial Narrow" w:hAnsiTheme="majorHAnsi" w:cstheme="majorHAnsi"/>
          <w:sz w:val="24"/>
          <w:szCs w:val="24"/>
        </w:rPr>
        <w:t>dezvoltarea în continuare a poliției de frontieră și a gărzii de coastă la nivel european</w:t>
      </w:r>
    </w:p>
    <w:p w14:paraId="1028FEB0" w14:textId="108AE9A3" w:rsidR="00612B49" w:rsidRPr="00320586" w:rsidRDefault="006A46D0" w:rsidP="00320586">
      <w:pPr>
        <w:pStyle w:val="ListParagraph"/>
        <w:numPr>
          <w:ilvl w:val="0"/>
          <w:numId w:val="3"/>
        </w:numPr>
        <w:tabs>
          <w:tab w:val="left" w:pos="8364"/>
        </w:tabs>
        <w:spacing w:after="120" w:line="240" w:lineRule="auto"/>
        <w:ind w:left="500" w:right="-1"/>
        <w:jc w:val="both"/>
        <w:rPr>
          <w:rFonts w:asciiTheme="majorHAnsi" w:eastAsia="Arial Narrow" w:hAnsiTheme="majorHAnsi" w:cstheme="majorHAnsi"/>
          <w:sz w:val="24"/>
          <w:szCs w:val="24"/>
        </w:rPr>
      </w:pPr>
      <w:r w:rsidRPr="00320586">
        <w:rPr>
          <w:rFonts w:asciiTheme="majorHAnsi" w:eastAsia="Arial Narrow" w:hAnsiTheme="majorHAnsi" w:cstheme="majorHAnsi"/>
          <w:sz w:val="24"/>
          <w:szCs w:val="24"/>
        </w:rPr>
        <w:t>asigurarea aplicării uniforme a acquis-ului Uniunii în materie de frontiere externe</w:t>
      </w:r>
    </w:p>
    <w:p w14:paraId="0FBF5452" w14:textId="74369822" w:rsidR="00612B49" w:rsidRPr="00320586" w:rsidRDefault="006A46D0" w:rsidP="00320586">
      <w:pPr>
        <w:pStyle w:val="ListParagraph"/>
        <w:numPr>
          <w:ilvl w:val="0"/>
          <w:numId w:val="3"/>
        </w:numPr>
        <w:tabs>
          <w:tab w:val="left" w:pos="8364"/>
        </w:tabs>
        <w:spacing w:after="120" w:line="240" w:lineRule="auto"/>
        <w:ind w:left="500" w:right="-1"/>
        <w:jc w:val="both"/>
        <w:rPr>
          <w:rFonts w:asciiTheme="majorHAnsi" w:eastAsia="Arial Narrow" w:hAnsiTheme="majorHAnsi" w:cstheme="majorHAnsi"/>
          <w:sz w:val="24"/>
          <w:szCs w:val="24"/>
        </w:rPr>
      </w:pPr>
      <w:r w:rsidRPr="00320586">
        <w:rPr>
          <w:rFonts w:asciiTheme="majorHAnsi" w:eastAsia="Arial Narrow" w:hAnsiTheme="majorHAnsi" w:cstheme="majorHAnsi"/>
          <w:sz w:val="24"/>
          <w:szCs w:val="24"/>
        </w:rPr>
        <w:t>crearea, exploatarea și întreținerea sistemelor informatice la scară largă în domeniul gestionării frontierelor, inclusiv în ceea ce privește interoperabilitatea acestor sisteme informatice și infrastructura lor de comunicații</w:t>
      </w:r>
    </w:p>
    <w:p w14:paraId="7576E288" w14:textId="29D62E58" w:rsidR="00612B49" w:rsidRPr="00320586" w:rsidRDefault="006A46D0" w:rsidP="00320586">
      <w:pPr>
        <w:pStyle w:val="ListParagraph"/>
        <w:numPr>
          <w:ilvl w:val="0"/>
          <w:numId w:val="8"/>
        </w:numPr>
        <w:tabs>
          <w:tab w:val="left" w:pos="8364"/>
        </w:tabs>
        <w:spacing w:after="120" w:line="240" w:lineRule="auto"/>
        <w:ind w:left="640" w:right="-1"/>
        <w:jc w:val="both"/>
        <w:rPr>
          <w:rFonts w:asciiTheme="majorHAnsi" w:eastAsia="Arial Narrow" w:hAnsiTheme="majorHAnsi" w:cstheme="majorHAnsi"/>
          <w:sz w:val="24"/>
          <w:szCs w:val="24"/>
        </w:rPr>
      </w:pPr>
      <w:r w:rsidRPr="00320586">
        <w:rPr>
          <w:rFonts w:asciiTheme="majorHAnsi" w:eastAsia="Arial" w:hAnsiTheme="majorHAnsi" w:cstheme="majorHAnsi"/>
          <w:sz w:val="24"/>
          <w:szCs w:val="24"/>
        </w:rPr>
        <w:t xml:space="preserve">Pe baza nevoilor stabilite, se vor finanța proiecte care vor viza </w:t>
      </w:r>
      <w:r w:rsidRPr="00320586">
        <w:rPr>
          <w:rFonts w:asciiTheme="majorHAnsi" w:eastAsia="Arial Narrow" w:hAnsiTheme="majorHAnsi" w:cstheme="majorHAnsi"/>
          <w:b/>
          <w:sz w:val="24"/>
          <w:szCs w:val="24"/>
        </w:rPr>
        <w:t>următoarele acțiuni</w:t>
      </w:r>
      <w:r w:rsidRPr="00320586">
        <w:rPr>
          <w:rFonts w:asciiTheme="majorHAnsi" w:eastAsia="Arial Narrow" w:hAnsiTheme="majorHAnsi" w:cstheme="majorHAnsi"/>
          <w:sz w:val="24"/>
          <w:szCs w:val="24"/>
        </w:rPr>
        <w:t>:</w:t>
      </w:r>
    </w:p>
    <w:p w14:paraId="6CDD7CE1" w14:textId="46BAB608" w:rsidR="00612B49" w:rsidRPr="00320586" w:rsidRDefault="006A46D0" w:rsidP="00320586">
      <w:pPr>
        <w:pStyle w:val="ListParagraph"/>
        <w:numPr>
          <w:ilvl w:val="0"/>
          <w:numId w:val="3"/>
        </w:numPr>
        <w:tabs>
          <w:tab w:val="left" w:pos="8364"/>
        </w:tabs>
        <w:spacing w:after="120" w:line="240" w:lineRule="auto"/>
        <w:ind w:left="500" w:right="-1"/>
        <w:jc w:val="both"/>
        <w:rPr>
          <w:rFonts w:asciiTheme="majorHAnsi" w:eastAsia="Arial Narrow" w:hAnsiTheme="majorHAnsi" w:cstheme="majorHAnsi"/>
          <w:sz w:val="24"/>
          <w:szCs w:val="24"/>
        </w:rPr>
      </w:pPr>
      <w:r w:rsidRPr="00320586">
        <w:rPr>
          <w:rFonts w:asciiTheme="majorHAnsi" w:eastAsia="Arial Narrow" w:hAnsiTheme="majorHAnsi" w:cstheme="majorHAnsi"/>
          <w:sz w:val="24"/>
          <w:szCs w:val="24"/>
        </w:rPr>
        <w:t>infrastructuri, clădiri, sisteme și servicii necesare la punctele de trecere a frontierelor</w:t>
      </w:r>
    </w:p>
    <w:p w14:paraId="080CBF26" w14:textId="0DA7CBD5" w:rsidR="00612B49" w:rsidRPr="00320586" w:rsidRDefault="006A46D0" w:rsidP="00320586">
      <w:pPr>
        <w:pStyle w:val="ListParagraph"/>
        <w:numPr>
          <w:ilvl w:val="0"/>
          <w:numId w:val="3"/>
        </w:numPr>
        <w:tabs>
          <w:tab w:val="left" w:pos="8364"/>
        </w:tabs>
        <w:spacing w:after="120" w:line="240" w:lineRule="auto"/>
        <w:ind w:left="500" w:right="-1"/>
        <w:jc w:val="both"/>
        <w:rPr>
          <w:rFonts w:asciiTheme="majorHAnsi" w:eastAsia="Arial Narrow" w:hAnsiTheme="majorHAnsi" w:cstheme="majorHAnsi"/>
          <w:sz w:val="24"/>
          <w:szCs w:val="24"/>
        </w:rPr>
      </w:pPr>
      <w:r w:rsidRPr="00320586">
        <w:rPr>
          <w:rFonts w:asciiTheme="majorHAnsi" w:eastAsia="Arial Narrow" w:hAnsiTheme="majorHAnsi" w:cstheme="majorHAnsi"/>
          <w:sz w:val="24"/>
          <w:szCs w:val="24"/>
        </w:rPr>
        <w:t xml:space="preserve">echipamente operaționale, inclusiv mijloace de transport, sisteme, servicii și reabilitarea și renovarea clădirilor, necesare pentru asigurarea unui control eficace și în condiții de siguranță la punctele de trecere a frontierei, în zonele </w:t>
      </w:r>
      <w:proofErr w:type="spellStart"/>
      <w:r w:rsidRPr="00320586">
        <w:rPr>
          <w:rFonts w:asciiTheme="majorHAnsi" w:eastAsia="Arial Narrow" w:hAnsiTheme="majorHAnsi" w:cstheme="majorHAnsi"/>
          <w:sz w:val="24"/>
          <w:szCs w:val="24"/>
        </w:rPr>
        <w:t>hotspot</w:t>
      </w:r>
      <w:proofErr w:type="spellEnd"/>
      <w:r w:rsidRPr="00320586">
        <w:rPr>
          <w:rFonts w:asciiTheme="majorHAnsi" w:eastAsia="Arial Narrow" w:hAnsiTheme="majorHAnsi" w:cstheme="majorHAnsi"/>
          <w:sz w:val="24"/>
          <w:szCs w:val="24"/>
        </w:rPr>
        <w:t xml:space="preserve"> și pentru supravegherea frontierelor;</w:t>
      </w:r>
    </w:p>
    <w:p w14:paraId="6C0DCE92" w14:textId="150D3DF6" w:rsidR="00612B49" w:rsidRPr="00320586" w:rsidRDefault="006A46D0" w:rsidP="00320586">
      <w:pPr>
        <w:pStyle w:val="ListParagraph"/>
        <w:numPr>
          <w:ilvl w:val="0"/>
          <w:numId w:val="3"/>
        </w:numPr>
        <w:tabs>
          <w:tab w:val="left" w:pos="8364"/>
        </w:tabs>
        <w:spacing w:after="120" w:line="240" w:lineRule="auto"/>
        <w:ind w:left="500" w:right="-1"/>
        <w:jc w:val="both"/>
        <w:rPr>
          <w:rFonts w:asciiTheme="majorHAnsi" w:eastAsia="Arial Narrow" w:hAnsiTheme="majorHAnsi" w:cstheme="majorHAnsi"/>
          <w:sz w:val="24"/>
          <w:szCs w:val="24"/>
        </w:rPr>
      </w:pPr>
      <w:r w:rsidRPr="00320586">
        <w:rPr>
          <w:rFonts w:asciiTheme="majorHAnsi" w:eastAsia="Arial Narrow" w:hAnsiTheme="majorHAnsi" w:cstheme="majorHAnsi"/>
          <w:sz w:val="24"/>
          <w:szCs w:val="24"/>
        </w:rPr>
        <w:t>formare în domeniul dezvoltării gestionării europene integrate a frontierelor sau formare care contribuie la aceasta</w:t>
      </w:r>
    </w:p>
    <w:p w14:paraId="68BAB8F6" w14:textId="6DF250D3" w:rsidR="00612B49" w:rsidRPr="00320586" w:rsidRDefault="006A46D0" w:rsidP="00320586">
      <w:pPr>
        <w:pStyle w:val="ListParagraph"/>
        <w:numPr>
          <w:ilvl w:val="0"/>
          <w:numId w:val="3"/>
        </w:numPr>
        <w:tabs>
          <w:tab w:val="left" w:pos="8364"/>
        </w:tabs>
        <w:spacing w:after="120" w:line="240" w:lineRule="auto"/>
        <w:ind w:left="500" w:right="-1"/>
        <w:jc w:val="both"/>
        <w:rPr>
          <w:rFonts w:asciiTheme="majorHAnsi" w:eastAsia="Arial Narrow" w:hAnsiTheme="majorHAnsi" w:cstheme="majorHAnsi"/>
          <w:sz w:val="24"/>
          <w:szCs w:val="24"/>
        </w:rPr>
      </w:pPr>
      <w:r w:rsidRPr="00320586">
        <w:rPr>
          <w:rFonts w:asciiTheme="majorHAnsi" w:eastAsia="Arial Narrow" w:hAnsiTheme="majorHAnsi" w:cstheme="majorHAnsi"/>
          <w:sz w:val="24"/>
          <w:szCs w:val="24"/>
        </w:rPr>
        <w:t>studii, proiecte-pilot și alte acțiuni relevante menite să pună în aplicare sau să dezvolte gestionarea europeană integrată a frontierelor, inclusiv măsuri care vizează dezvoltarea poliției de frontieră și a gărzii de coastă la nivel european, cum ar fi consolidarea capacităților comune, achiziții comune, stabilirea de standarde comune și orice alte măsuri de simplificare a cooperării și a coordonării dintre Agenția Europeană pentru Poliția de Frontieră și Garda de Coastă și statele membre</w:t>
      </w:r>
    </w:p>
    <w:p w14:paraId="5E56B45E" w14:textId="0034364A" w:rsidR="00612B49" w:rsidRPr="00320586" w:rsidRDefault="006A46D0" w:rsidP="00320586">
      <w:pPr>
        <w:pStyle w:val="ListParagraph"/>
        <w:numPr>
          <w:ilvl w:val="0"/>
          <w:numId w:val="3"/>
        </w:numPr>
        <w:tabs>
          <w:tab w:val="left" w:pos="8364"/>
        </w:tabs>
        <w:spacing w:after="120" w:line="240" w:lineRule="auto"/>
        <w:ind w:left="500" w:right="-1"/>
        <w:jc w:val="both"/>
        <w:rPr>
          <w:rFonts w:asciiTheme="majorHAnsi" w:eastAsia="Arial Narrow" w:hAnsiTheme="majorHAnsi" w:cstheme="majorHAnsi"/>
          <w:sz w:val="24"/>
          <w:szCs w:val="24"/>
        </w:rPr>
      </w:pPr>
      <w:r w:rsidRPr="00320586">
        <w:rPr>
          <w:rFonts w:asciiTheme="majorHAnsi" w:eastAsia="Arial" w:hAnsiTheme="majorHAnsi" w:cstheme="majorHAnsi"/>
          <w:sz w:val="24"/>
          <w:szCs w:val="24"/>
        </w:rPr>
        <w:t>acțiuni de dezvoltare a unor metode inovatoare sau care contribuie la introducerea unor noi tehnologii cu potențial de transfer în alte state membre</w:t>
      </w:r>
    </w:p>
    <w:p w14:paraId="3F5275C8" w14:textId="72E7C04B" w:rsidR="00612B49" w:rsidRPr="00320586" w:rsidRDefault="006A46D0" w:rsidP="00320586">
      <w:pPr>
        <w:pStyle w:val="ListParagraph"/>
        <w:numPr>
          <w:ilvl w:val="0"/>
          <w:numId w:val="3"/>
        </w:numPr>
        <w:tabs>
          <w:tab w:val="left" w:pos="8364"/>
        </w:tabs>
        <w:spacing w:after="120" w:line="240" w:lineRule="auto"/>
        <w:ind w:left="500" w:right="-1"/>
        <w:jc w:val="both"/>
        <w:rPr>
          <w:rFonts w:asciiTheme="majorHAnsi" w:eastAsia="Arial Narrow" w:hAnsiTheme="majorHAnsi" w:cstheme="majorHAnsi"/>
          <w:sz w:val="24"/>
          <w:szCs w:val="24"/>
        </w:rPr>
      </w:pPr>
      <w:r w:rsidRPr="00320586">
        <w:rPr>
          <w:rFonts w:asciiTheme="majorHAnsi" w:eastAsia="Arial Narrow" w:hAnsiTheme="majorHAnsi" w:cstheme="majorHAnsi"/>
          <w:sz w:val="24"/>
          <w:szCs w:val="24"/>
        </w:rPr>
        <w:t>sprijinul operațional pentru punerea în aplicare a gestionării europene integrate a frontierelor;</w:t>
      </w:r>
    </w:p>
    <w:p w14:paraId="597D4841" w14:textId="2BF30791" w:rsidR="00612B49" w:rsidRPr="00320586" w:rsidRDefault="006A46D0" w:rsidP="00320586">
      <w:pPr>
        <w:pStyle w:val="ListParagraph"/>
        <w:numPr>
          <w:ilvl w:val="0"/>
          <w:numId w:val="3"/>
        </w:numPr>
        <w:tabs>
          <w:tab w:val="left" w:pos="8364"/>
        </w:tabs>
        <w:spacing w:after="120" w:line="240" w:lineRule="auto"/>
        <w:ind w:left="500" w:right="-1"/>
        <w:jc w:val="both"/>
        <w:rPr>
          <w:rFonts w:asciiTheme="majorHAnsi" w:eastAsia="Arial Narrow" w:hAnsiTheme="majorHAnsi" w:cstheme="majorHAnsi"/>
          <w:sz w:val="24"/>
          <w:szCs w:val="24"/>
        </w:rPr>
      </w:pPr>
      <w:r w:rsidRPr="00320586">
        <w:rPr>
          <w:rFonts w:asciiTheme="majorHAnsi" w:eastAsia="Arial" w:hAnsiTheme="majorHAnsi" w:cstheme="majorHAnsi"/>
          <w:sz w:val="24"/>
          <w:szCs w:val="24"/>
        </w:rPr>
        <w:t>acțiuni, echipamente și mijloace de supraveghere necesare pentru punerea în aplicare a Regulamentului 1052/2013.</w:t>
      </w:r>
    </w:p>
    <w:p w14:paraId="3649D435" w14:textId="77777777" w:rsidR="00612B49" w:rsidRPr="006A46D0" w:rsidRDefault="006A46D0" w:rsidP="00320586">
      <w:pPr>
        <w:tabs>
          <w:tab w:val="left" w:pos="8364"/>
        </w:tabs>
        <w:spacing w:after="120" w:line="240" w:lineRule="auto"/>
        <w:ind w:left="140"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 </w:t>
      </w:r>
    </w:p>
    <w:p w14:paraId="495ED2FD" w14:textId="77777777" w:rsidR="00612B49" w:rsidRPr="006A46D0" w:rsidRDefault="006A46D0" w:rsidP="00320586">
      <w:pPr>
        <w:tabs>
          <w:tab w:val="left" w:pos="8364"/>
        </w:tabs>
        <w:spacing w:after="120" w:line="240" w:lineRule="auto"/>
        <w:ind w:left="140" w:right="-1"/>
        <w:jc w:val="both"/>
        <w:rPr>
          <w:rFonts w:asciiTheme="majorHAnsi" w:eastAsia="Arial Narrow" w:hAnsiTheme="majorHAnsi" w:cstheme="majorHAnsi"/>
          <w:b/>
          <w:sz w:val="24"/>
          <w:szCs w:val="24"/>
        </w:rPr>
      </w:pPr>
      <w:r w:rsidRPr="006A46D0">
        <w:rPr>
          <w:rFonts w:asciiTheme="majorHAnsi" w:eastAsia="Arial" w:hAnsiTheme="majorHAnsi" w:cstheme="majorHAnsi"/>
          <w:b/>
          <w:sz w:val="24"/>
          <w:szCs w:val="24"/>
        </w:rPr>
        <w:t>SPRIJIN OPERAȚIONAL</w:t>
      </w:r>
    </w:p>
    <w:p w14:paraId="55D116AA" w14:textId="77777777" w:rsidR="00612B49" w:rsidRPr="006A46D0" w:rsidRDefault="006A46D0" w:rsidP="00320586">
      <w:pPr>
        <w:tabs>
          <w:tab w:val="left" w:pos="8364"/>
        </w:tabs>
        <w:spacing w:after="120" w:line="240" w:lineRule="auto"/>
        <w:ind w:left="140"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În temeiul prevederilor art. 15 al regulamentului de instituire a IMFV, RO va solicita sprijin financiar pentru îndeplinirea obiectivelor fondului, respectiv sprijinirea unei gestionări europene integrate eficace a frontierelor externe, pusă în aplicare de poliția de frontieră și Garda de coastă la nivel european ca responsabilitate comună a Agenției Europene pentru Poliția de Frontieră și Garda de Coastă și a autorităților naționale responsabile cu gestionarea frontierelor, în scopul facilitării trecerii legale a frontierei, al prevenirii și al depistării imigrației ilegale și a criminalității transfrontaliere, precum și al gestionării eficace a fluxurilor de migrație</w:t>
      </w:r>
    </w:p>
    <w:p w14:paraId="515F6108" w14:textId="77777777" w:rsidR="00612B49" w:rsidRPr="006A46D0" w:rsidRDefault="006A46D0" w:rsidP="00320586">
      <w:pPr>
        <w:tabs>
          <w:tab w:val="left" w:pos="8364"/>
        </w:tabs>
        <w:spacing w:after="120" w:line="240" w:lineRule="auto"/>
        <w:ind w:left="140"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 </w:t>
      </w:r>
    </w:p>
    <w:p w14:paraId="531A519D" w14:textId="77777777" w:rsidR="00612B49" w:rsidRPr="006A46D0" w:rsidRDefault="006A46D0" w:rsidP="00320586">
      <w:pPr>
        <w:tabs>
          <w:tab w:val="left" w:pos="8364"/>
        </w:tabs>
        <w:spacing w:after="120" w:line="240" w:lineRule="auto"/>
        <w:ind w:left="140"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lastRenderedPageBreak/>
        <w:t>În contextul noilor orientări europene referitoare la sarcinile obligatorii pe care fiecare stat membru trebuie să le îndeplinească pentru realizarea unui nivel înalt și uniform de control și supraveghere a frontierelor externe UE, România trebuie să-și consolideze dimensiunea operațională a sistemului de gestionare integrată a frontierelor prin aplicarea unor standarde eficiente și compatibile cu cele mai bune practici în domeniu.</w:t>
      </w:r>
    </w:p>
    <w:p w14:paraId="33B9C87B" w14:textId="77777777" w:rsidR="00612B49" w:rsidRPr="006A46D0" w:rsidRDefault="006A46D0" w:rsidP="00320586">
      <w:pPr>
        <w:tabs>
          <w:tab w:val="left" w:pos="8364"/>
        </w:tabs>
        <w:spacing w:after="120" w:line="240" w:lineRule="auto"/>
        <w:ind w:left="140"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Sistemele de supraveghere instalate la frontiera externă asigură suportul tehnic pentru menținerea unui înalt nivel de supraveghere și control la frontierele externe UE și susținerea eforturilor europene pe linia prevenirii și combaterii migrației ilegale și a criminalității transfrontaliere și care oferă informații în timp real asupra activităților desfășurate în zona de frontieră și asistă personalul Poliției de Frontieră Române în realizarea misiunilor specifice. Aceste informații sunt transmise la Centrele de Comandă și Control ale structurilor teritoriale ale PFR. Având în vedere regimul intensiv și vechimea în exploatare, prescripțiile tehnice, precum și expirarea perioadei de garanție, în scopul menținerii capacităților operaționale și de acțiune specifică ale Poliției de Frontieră Române, este necesară realizarea mentenanței sistemelor de supraveghere instalate la frontiera externă a Uniunii Europene, în zona de competență a ITPF Iași, ITPF Sighetu Marmației, ITPF Timișoara și Garda de Coastă.</w:t>
      </w:r>
    </w:p>
    <w:p w14:paraId="794CE55B" w14:textId="77777777" w:rsidR="00612B49" w:rsidRPr="006A46D0" w:rsidRDefault="00612B49" w:rsidP="00320586">
      <w:pPr>
        <w:tabs>
          <w:tab w:val="left" w:pos="8364"/>
        </w:tabs>
        <w:spacing w:after="120" w:line="240" w:lineRule="auto"/>
        <w:ind w:left="140" w:right="-1"/>
        <w:jc w:val="both"/>
        <w:rPr>
          <w:rFonts w:asciiTheme="majorHAnsi" w:eastAsia="Arial Narrow" w:hAnsiTheme="majorHAnsi" w:cstheme="majorHAnsi"/>
          <w:sz w:val="24"/>
          <w:szCs w:val="24"/>
        </w:rPr>
      </w:pPr>
    </w:p>
    <w:p w14:paraId="1607C9A0" w14:textId="77777777" w:rsidR="00612B49" w:rsidRPr="006A46D0" w:rsidRDefault="006A46D0" w:rsidP="00320586">
      <w:pPr>
        <w:tabs>
          <w:tab w:val="left" w:pos="8364"/>
        </w:tabs>
        <w:spacing w:after="120" w:line="240" w:lineRule="auto"/>
        <w:ind w:left="140"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De asemenea, în vederea asigurării capacității de funcționare continuă, la parametri optimi și în acord cu noile specificații tehnice operate la nivel central, se impune asigurarea mentenanței pentru sistemele IT care asigură îndeplinirea obligațiilor RO în ceea ce privește controlul și supravegherea frontierelor.</w:t>
      </w:r>
    </w:p>
    <w:p w14:paraId="43CEB273" w14:textId="77777777" w:rsidR="00612B49" w:rsidRPr="006A46D0" w:rsidRDefault="006A46D0" w:rsidP="00320586">
      <w:pPr>
        <w:tabs>
          <w:tab w:val="left" w:pos="8364"/>
        </w:tabs>
        <w:spacing w:after="120" w:line="240" w:lineRule="auto"/>
        <w:ind w:left="140"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 </w:t>
      </w:r>
    </w:p>
    <w:p w14:paraId="6BA0CFE0" w14:textId="17053CEE" w:rsidR="00612B49" w:rsidRPr="006A46D0" w:rsidRDefault="006A46D0" w:rsidP="00320586">
      <w:pPr>
        <w:tabs>
          <w:tab w:val="left" w:pos="8364"/>
        </w:tabs>
        <w:spacing w:after="120" w:line="240" w:lineRule="auto"/>
        <w:ind w:left="140"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Beneficiar IGPF-  este instituția specializată a statului care exercită atribuțiile ce îi revin cu privire la supravegherea si controlul trecerii frontierei de stat, prevenirea și combaterea migrației ilegale si a faptelor specifice criminalității transfrontaliere săvârșite în zona de competență, respectarea regimului juridic al frontierei de stat, pașapoartelor si străinilor, asigurarea interesului statului român pe Dunărea interioară, inclusiv brațul Măcin și canalul Sulina situate în afara zonei de frontieră, în zona contiguă și în zona economică exclusivă, respectarea ordinii și liniștii publice în zona de competență, conform OUG nr. 104/2001 privind organizare și funcționarea Poliției de Frontieră Române, cu modificările și completările ulterioare</w:t>
      </w:r>
    </w:p>
    <w:p w14:paraId="1353A602" w14:textId="3EFF35DA" w:rsidR="00612B49" w:rsidRPr="006A46D0" w:rsidRDefault="006A46D0" w:rsidP="00320586">
      <w:pPr>
        <w:tabs>
          <w:tab w:val="left" w:pos="8364"/>
        </w:tabs>
        <w:spacing w:after="120" w:line="240" w:lineRule="auto"/>
        <w:ind w:left="140"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Beneficiar Centrul Național SIS (CNSIS), este unitatea subordonată Ministerului Afacerilor Interne (M.A.I.), organizată la nivel de direcție, fără personalitate juridică, responsabilă cu implementarea, funcționarea, întreținerea și securitatea componentei naționale a Sistemului de Informații Schengen (N.SIS), cu asigurarea conectării N.SIS la SIS central și managementul copiei naționale a bazei de date centrale a SIS, precum și cu asigurarea accesului autorităților române la N.SIS.</w:t>
      </w:r>
    </w:p>
    <w:p w14:paraId="0B146848" w14:textId="5FC1B94B" w:rsidR="00612B49" w:rsidRPr="006A46D0" w:rsidRDefault="006A46D0" w:rsidP="00320586">
      <w:pPr>
        <w:tabs>
          <w:tab w:val="left" w:pos="8364"/>
        </w:tabs>
        <w:spacing w:after="120" w:line="240" w:lineRule="auto"/>
        <w:ind w:left="140"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IGPR (CCPI) constituie autoritatea națională centrală în domeniul cooperării polițienești internaționale fiind specializată în schimbul de informații operative în domeniul combaterii criminalității la nivel internațional și potrivit legii, asigură schimbul de informații operative în domeniul combaterii criminalității transfrontaliere, precum și gestionarea fluxului informațional de interes operativ aferent cooperării internaționale derulată de structurile specializate ale MAI</w:t>
      </w:r>
    </w:p>
    <w:p w14:paraId="28F1458F" w14:textId="77777777" w:rsidR="00612B49" w:rsidRPr="006A46D0" w:rsidRDefault="006A46D0" w:rsidP="00320586">
      <w:pPr>
        <w:tabs>
          <w:tab w:val="left" w:pos="8364"/>
        </w:tabs>
        <w:spacing w:after="120" w:line="240" w:lineRule="auto"/>
        <w:ind w:left="140"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 </w:t>
      </w:r>
    </w:p>
    <w:p w14:paraId="4B0649A7" w14:textId="77777777" w:rsidR="00612B49" w:rsidRPr="006A46D0" w:rsidRDefault="006A46D0" w:rsidP="00320586">
      <w:pPr>
        <w:tabs>
          <w:tab w:val="left" w:pos="8364"/>
        </w:tabs>
        <w:spacing w:after="120" w:line="240" w:lineRule="auto"/>
        <w:ind w:left="140" w:right="-1"/>
        <w:jc w:val="both"/>
        <w:rPr>
          <w:rFonts w:asciiTheme="majorHAnsi" w:eastAsia="Arial Narrow" w:hAnsiTheme="majorHAnsi" w:cstheme="majorHAnsi"/>
          <w:sz w:val="24"/>
          <w:szCs w:val="24"/>
        </w:rPr>
      </w:pPr>
      <w:r w:rsidRPr="006A46D0">
        <w:rPr>
          <w:rFonts w:asciiTheme="majorHAnsi" w:eastAsia="Arial" w:hAnsiTheme="majorHAnsi" w:cstheme="majorHAnsi"/>
          <w:b/>
          <w:sz w:val="24"/>
          <w:szCs w:val="24"/>
        </w:rPr>
        <w:t>Acțiunile</w:t>
      </w:r>
      <w:r w:rsidRPr="006A46D0">
        <w:rPr>
          <w:rFonts w:asciiTheme="majorHAnsi" w:eastAsia="Arial Narrow" w:hAnsiTheme="majorHAnsi" w:cstheme="majorHAnsi"/>
          <w:sz w:val="24"/>
          <w:szCs w:val="24"/>
        </w:rPr>
        <w:t xml:space="preserve"> propuse de către RO pentru sprijin operațional se încadrează în Anexa VII a (propunerii) Regulamentului de instituire a IMFV, astfel</w:t>
      </w:r>
    </w:p>
    <w:p w14:paraId="4B44692E" w14:textId="70007155" w:rsidR="00612B49" w:rsidRPr="00320586" w:rsidRDefault="006A46D0" w:rsidP="00320586">
      <w:pPr>
        <w:pStyle w:val="ListParagraph"/>
        <w:numPr>
          <w:ilvl w:val="0"/>
          <w:numId w:val="3"/>
        </w:numPr>
        <w:tabs>
          <w:tab w:val="left" w:pos="8222"/>
        </w:tabs>
        <w:spacing w:after="120" w:line="240" w:lineRule="auto"/>
        <w:ind w:right="-1"/>
        <w:jc w:val="both"/>
        <w:rPr>
          <w:rFonts w:asciiTheme="majorHAnsi" w:eastAsia="Arial Narrow" w:hAnsiTheme="majorHAnsi" w:cstheme="majorHAnsi"/>
          <w:sz w:val="24"/>
          <w:szCs w:val="24"/>
        </w:rPr>
      </w:pPr>
      <w:r w:rsidRPr="00320586">
        <w:rPr>
          <w:rFonts w:asciiTheme="majorHAnsi" w:eastAsia="Arial Narrow" w:hAnsiTheme="majorHAnsi" w:cstheme="majorHAnsi"/>
          <w:sz w:val="24"/>
          <w:szCs w:val="24"/>
        </w:rPr>
        <w:t>întreținerea sau repararea echipamentelor și a infrastructurii, inclusiv a clădirilor și a drumurilor de acces;</w:t>
      </w:r>
    </w:p>
    <w:p w14:paraId="1A83D790" w14:textId="223C93CE" w:rsidR="00612B49" w:rsidRPr="00320586" w:rsidRDefault="006A46D0" w:rsidP="00320586">
      <w:pPr>
        <w:pStyle w:val="ListParagraph"/>
        <w:numPr>
          <w:ilvl w:val="0"/>
          <w:numId w:val="3"/>
        </w:numPr>
        <w:tabs>
          <w:tab w:val="left" w:pos="8222"/>
        </w:tabs>
        <w:spacing w:after="120" w:line="240" w:lineRule="auto"/>
        <w:ind w:right="-1"/>
        <w:jc w:val="both"/>
        <w:rPr>
          <w:rFonts w:asciiTheme="majorHAnsi" w:eastAsia="Arial Narrow" w:hAnsiTheme="majorHAnsi" w:cstheme="majorHAnsi"/>
          <w:sz w:val="24"/>
          <w:szCs w:val="24"/>
        </w:rPr>
      </w:pPr>
      <w:r w:rsidRPr="00320586">
        <w:rPr>
          <w:rFonts w:asciiTheme="majorHAnsi" w:eastAsia="Arial Narrow" w:hAnsiTheme="majorHAnsi" w:cstheme="majorHAnsi"/>
          <w:sz w:val="24"/>
          <w:szCs w:val="24"/>
        </w:rPr>
        <w:lastRenderedPageBreak/>
        <w:t>gestionarea operațională și întreținerea sistemelor informatice la scară largă și a infrastructurilor lor de comunicații, inclusiv interoperabilitatea acestor sisteme și închirierea de incinte securizate.</w:t>
      </w:r>
    </w:p>
    <w:p w14:paraId="4EF17E96" w14:textId="77777777" w:rsidR="00612B49" w:rsidRPr="006A46D0" w:rsidRDefault="00612B49" w:rsidP="006A46D0">
      <w:pPr>
        <w:tabs>
          <w:tab w:val="left" w:pos="9072"/>
        </w:tabs>
        <w:spacing w:after="120" w:line="240" w:lineRule="auto"/>
        <w:ind w:left="140" w:right="500"/>
        <w:jc w:val="both"/>
        <w:rPr>
          <w:rFonts w:asciiTheme="majorHAnsi" w:eastAsia="Arial Narrow" w:hAnsiTheme="majorHAnsi" w:cstheme="majorHAnsi"/>
          <w:sz w:val="24"/>
          <w:szCs w:val="24"/>
        </w:rPr>
      </w:pPr>
    </w:p>
    <w:p w14:paraId="7E0BB4E8" w14:textId="7466C79D" w:rsidR="00612B49" w:rsidRPr="005F7451" w:rsidRDefault="006A46D0" w:rsidP="00320586">
      <w:pPr>
        <w:pStyle w:val="Heading2"/>
        <w:spacing w:after="120" w:line="240" w:lineRule="auto"/>
        <w:ind w:left="10"/>
        <w:rPr>
          <w:rFonts w:asciiTheme="majorHAnsi" w:eastAsia="Arial Narrow" w:hAnsiTheme="majorHAnsi" w:cstheme="majorHAnsi"/>
          <w:b w:val="0"/>
        </w:rPr>
      </w:pPr>
      <w:bookmarkStart w:id="6" w:name="_5hkb9o4t8s3f" w:colFirst="0" w:colLast="0"/>
      <w:bookmarkEnd w:id="6"/>
      <w:r w:rsidRPr="005F7451">
        <w:rPr>
          <w:rFonts w:asciiTheme="majorHAnsi" w:hAnsiTheme="majorHAnsi" w:cstheme="majorHAnsi"/>
          <w:highlight w:val="yellow"/>
        </w:rPr>
        <w:t xml:space="preserve">2.1. OS2 </w:t>
      </w:r>
      <w:proofErr w:type="spellStart"/>
      <w:r w:rsidRPr="005F7451">
        <w:rPr>
          <w:rFonts w:asciiTheme="majorHAnsi" w:hAnsiTheme="majorHAnsi" w:cstheme="majorHAnsi"/>
          <w:highlight w:val="yellow"/>
        </w:rPr>
        <w:t>Title</w:t>
      </w:r>
      <w:proofErr w:type="spellEnd"/>
      <w:r w:rsidRPr="005F7451">
        <w:rPr>
          <w:rFonts w:asciiTheme="majorHAnsi" w:hAnsiTheme="majorHAnsi" w:cstheme="majorHAnsi"/>
          <w:highlight w:val="yellow"/>
        </w:rPr>
        <w:t xml:space="preserve"> of the specific </w:t>
      </w:r>
      <w:proofErr w:type="spellStart"/>
      <w:r w:rsidRPr="005F7451">
        <w:rPr>
          <w:rFonts w:asciiTheme="majorHAnsi" w:hAnsiTheme="majorHAnsi" w:cstheme="majorHAnsi"/>
          <w:highlight w:val="yellow"/>
        </w:rPr>
        <w:t>objective</w:t>
      </w:r>
      <w:proofErr w:type="spellEnd"/>
      <w:r w:rsidRPr="005F7451">
        <w:rPr>
          <w:rFonts w:asciiTheme="majorHAnsi" w:hAnsiTheme="majorHAnsi" w:cstheme="majorHAnsi"/>
          <w:highlight w:val="yellow"/>
        </w:rPr>
        <w:t xml:space="preserve"> [300] </w:t>
      </w:r>
      <w:r w:rsidRPr="005F7451">
        <w:rPr>
          <w:rFonts w:asciiTheme="majorHAnsi" w:eastAsia="Arial Narrow" w:hAnsiTheme="majorHAnsi" w:cstheme="majorHAnsi"/>
          <w:bCs/>
          <w:highlight w:val="yellow"/>
        </w:rPr>
        <w:t>OS2 - Sprijinirea politicii comune în domeniul vizelor în scopul facilitării călătoriilor în scopuri legitime și al prevenirii riscurilor în materie de migrație și de securitate.</w:t>
      </w:r>
    </w:p>
    <w:p w14:paraId="222834C6" w14:textId="58E634CE" w:rsidR="00612B49" w:rsidRDefault="006A46D0" w:rsidP="00320586">
      <w:pPr>
        <w:pStyle w:val="Heading3"/>
        <w:spacing w:after="120" w:line="240" w:lineRule="auto"/>
        <w:ind w:left="0" w:firstLine="0"/>
        <w:rPr>
          <w:rFonts w:asciiTheme="majorHAnsi" w:hAnsiTheme="majorHAnsi" w:cstheme="majorHAnsi"/>
        </w:rPr>
      </w:pPr>
      <w:bookmarkStart w:id="7" w:name="_r31txestajg8" w:colFirst="0" w:colLast="0"/>
      <w:bookmarkEnd w:id="7"/>
      <w:r w:rsidRPr="006A46D0">
        <w:rPr>
          <w:rFonts w:asciiTheme="majorHAnsi" w:hAnsiTheme="majorHAnsi" w:cstheme="majorHAnsi"/>
        </w:rPr>
        <w:t xml:space="preserve">2.1.1. OS2 </w:t>
      </w:r>
      <w:proofErr w:type="spellStart"/>
      <w:r w:rsidRPr="006A46D0">
        <w:rPr>
          <w:rFonts w:asciiTheme="majorHAnsi" w:hAnsiTheme="majorHAnsi" w:cstheme="majorHAnsi"/>
        </w:rPr>
        <w:t>Description</w:t>
      </w:r>
      <w:proofErr w:type="spellEnd"/>
      <w:r w:rsidRPr="006A46D0">
        <w:rPr>
          <w:rFonts w:asciiTheme="majorHAnsi" w:hAnsiTheme="majorHAnsi" w:cstheme="majorHAnsi"/>
        </w:rPr>
        <w:t xml:space="preserve"> of a specific </w:t>
      </w:r>
      <w:proofErr w:type="spellStart"/>
      <w:r w:rsidRPr="006A46D0">
        <w:rPr>
          <w:rFonts w:asciiTheme="majorHAnsi" w:hAnsiTheme="majorHAnsi" w:cstheme="majorHAnsi"/>
        </w:rPr>
        <w:t>objective</w:t>
      </w:r>
      <w:proofErr w:type="spellEnd"/>
      <w:r w:rsidRPr="006A46D0">
        <w:rPr>
          <w:rFonts w:asciiTheme="majorHAnsi" w:hAnsiTheme="majorHAnsi" w:cstheme="majorHAnsi"/>
        </w:rPr>
        <w:t xml:space="preserve"> </w:t>
      </w:r>
    </w:p>
    <w:tbl>
      <w:tblPr>
        <w:tblStyle w:val="TableGrid"/>
        <w:tblW w:w="0" w:type="auto"/>
        <w:tblLook w:val="04A0" w:firstRow="1" w:lastRow="0" w:firstColumn="1" w:lastColumn="0" w:noHBand="0" w:noVBand="1"/>
      </w:tblPr>
      <w:tblGrid>
        <w:gridCol w:w="9628"/>
      </w:tblGrid>
      <w:tr w:rsidR="00AE0328" w14:paraId="3798CF62" w14:textId="77777777" w:rsidTr="00AE0328">
        <w:tc>
          <w:tcPr>
            <w:tcW w:w="9628" w:type="dxa"/>
          </w:tcPr>
          <w:p w14:paraId="2CFE2597" w14:textId="77777777" w:rsidR="00AE0328" w:rsidRPr="004C0798" w:rsidRDefault="00AE0328" w:rsidP="00AE0328">
            <w:pPr>
              <w:rPr>
                <w:rFonts w:asciiTheme="majorHAnsi" w:hAnsiTheme="majorHAnsi" w:cstheme="majorHAnsi"/>
                <w:i/>
                <w:color w:val="808080" w:themeColor="background1" w:themeShade="80"/>
              </w:rPr>
            </w:pPr>
            <w:proofErr w:type="spellStart"/>
            <w:r w:rsidRPr="004C0798">
              <w:rPr>
                <w:rFonts w:asciiTheme="majorHAnsi" w:hAnsiTheme="majorHAnsi" w:cstheme="majorHAnsi"/>
                <w:i/>
                <w:color w:val="808080" w:themeColor="background1" w:themeShade="80"/>
              </w:rPr>
              <w:t>This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section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describes</w:t>
            </w:r>
            <w:proofErr w:type="spellEnd"/>
            <w:r w:rsidRPr="004C0798">
              <w:rPr>
                <w:rFonts w:asciiTheme="majorHAnsi" w:hAnsiTheme="majorHAnsi" w:cstheme="majorHAnsi"/>
                <w:i/>
                <w:color w:val="808080" w:themeColor="background1" w:themeShade="80"/>
              </w:rPr>
              <w:t xml:space="preserve">, for </w:t>
            </w:r>
            <w:proofErr w:type="spellStart"/>
            <w:r w:rsidRPr="004C0798">
              <w:rPr>
                <w:rFonts w:asciiTheme="majorHAnsi" w:hAnsiTheme="majorHAnsi" w:cstheme="majorHAnsi"/>
                <w:i/>
                <w:color w:val="808080" w:themeColor="background1" w:themeShade="80"/>
              </w:rPr>
              <w:t>each</w:t>
            </w:r>
            <w:proofErr w:type="spellEnd"/>
            <w:r w:rsidRPr="004C0798">
              <w:rPr>
                <w:rFonts w:asciiTheme="majorHAnsi" w:hAnsiTheme="majorHAnsi" w:cstheme="majorHAnsi"/>
                <w:i/>
                <w:color w:val="808080" w:themeColor="background1" w:themeShade="80"/>
              </w:rPr>
              <w:t xml:space="preserve"> specific </w:t>
            </w:r>
            <w:proofErr w:type="spellStart"/>
            <w:r w:rsidRPr="004C0798">
              <w:rPr>
                <w:rFonts w:asciiTheme="majorHAnsi" w:hAnsiTheme="majorHAnsi" w:cstheme="majorHAnsi"/>
                <w:i/>
                <w:color w:val="808080" w:themeColor="background1" w:themeShade="80"/>
              </w:rPr>
              <w:t>objective</w:t>
            </w:r>
            <w:proofErr w:type="spellEnd"/>
            <w:r w:rsidRPr="004C0798">
              <w:rPr>
                <w:rFonts w:asciiTheme="majorHAnsi" w:hAnsiTheme="majorHAnsi" w:cstheme="majorHAnsi"/>
                <w:i/>
                <w:color w:val="808080" w:themeColor="background1" w:themeShade="80"/>
              </w:rPr>
              <w:t xml:space="preserve">, the </w:t>
            </w:r>
            <w:proofErr w:type="spellStart"/>
            <w:r w:rsidRPr="004C0798">
              <w:rPr>
                <w:rFonts w:asciiTheme="majorHAnsi" w:hAnsiTheme="majorHAnsi" w:cstheme="majorHAnsi"/>
                <w:i/>
                <w:color w:val="808080" w:themeColor="background1" w:themeShade="80"/>
              </w:rPr>
              <w:t>initial</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situation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main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challenges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and</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proposes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responses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supported</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by</w:t>
            </w:r>
            <w:proofErr w:type="spellEnd"/>
            <w:r w:rsidRPr="004C0798">
              <w:rPr>
                <w:rFonts w:asciiTheme="majorHAnsi" w:hAnsiTheme="majorHAnsi" w:cstheme="majorHAnsi"/>
                <w:i/>
                <w:color w:val="808080" w:themeColor="background1" w:themeShade="80"/>
              </w:rPr>
              <w:t xml:space="preserve"> the Fund. It </w:t>
            </w:r>
            <w:proofErr w:type="spellStart"/>
            <w:r w:rsidRPr="004C0798">
              <w:rPr>
                <w:rFonts w:asciiTheme="majorHAnsi" w:hAnsiTheme="majorHAnsi" w:cstheme="majorHAnsi"/>
                <w:i/>
                <w:color w:val="808080" w:themeColor="background1" w:themeShade="80"/>
              </w:rPr>
              <w:t>describes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which</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implementation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measures</w:t>
            </w:r>
            <w:proofErr w:type="spellEnd"/>
            <w:r w:rsidRPr="004C0798">
              <w:rPr>
                <w:rFonts w:asciiTheme="majorHAnsi" w:hAnsiTheme="majorHAnsi" w:cstheme="majorHAnsi"/>
                <w:i/>
                <w:color w:val="808080" w:themeColor="background1" w:themeShade="80"/>
              </w:rPr>
              <w:t xml:space="preserve"> are </w:t>
            </w:r>
            <w:proofErr w:type="spellStart"/>
            <w:r w:rsidRPr="004C0798">
              <w:rPr>
                <w:rFonts w:asciiTheme="majorHAnsi" w:hAnsiTheme="majorHAnsi" w:cstheme="majorHAnsi"/>
                <w:i/>
                <w:color w:val="808080" w:themeColor="background1" w:themeShade="80"/>
              </w:rPr>
              <w:t>addressed</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with</w:t>
            </w:r>
            <w:proofErr w:type="spellEnd"/>
            <w:r w:rsidRPr="004C0798">
              <w:rPr>
                <w:rFonts w:asciiTheme="majorHAnsi" w:hAnsiTheme="majorHAnsi" w:cstheme="majorHAnsi"/>
                <w:i/>
                <w:color w:val="808080" w:themeColor="background1" w:themeShade="80"/>
              </w:rPr>
              <w:t xml:space="preserve"> the </w:t>
            </w:r>
            <w:proofErr w:type="spellStart"/>
            <w:r w:rsidRPr="004C0798">
              <w:rPr>
                <w:rFonts w:asciiTheme="majorHAnsi" w:hAnsiTheme="majorHAnsi" w:cstheme="majorHAnsi"/>
                <w:i/>
                <w:color w:val="808080" w:themeColor="background1" w:themeShade="80"/>
              </w:rPr>
              <w:t>support</w:t>
            </w:r>
            <w:proofErr w:type="spellEnd"/>
            <w:r w:rsidRPr="004C0798">
              <w:rPr>
                <w:rFonts w:asciiTheme="majorHAnsi" w:hAnsiTheme="majorHAnsi" w:cstheme="majorHAnsi"/>
                <w:i/>
                <w:color w:val="808080" w:themeColor="background1" w:themeShade="80"/>
              </w:rPr>
              <w:t xml:space="preserve"> of the Fund; it </w:t>
            </w:r>
            <w:proofErr w:type="spellStart"/>
            <w:r w:rsidRPr="004C0798">
              <w:rPr>
                <w:rFonts w:asciiTheme="majorHAnsi" w:hAnsiTheme="majorHAnsi" w:cstheme="majorHAnsi"/>
                <w:i/>
                <w:color w:val="808080" w:themeColor="background1" w:themeShade="80"/>
              </w:rPr>
              <w:t>provides</w:t>
            </w:r>
            <w:proofErr w:type="spellEnd"/>
            <w:r w:rsidRPr="004C0798">
              <w:rPr>
                <w:rFonts w:asciiTheme="majorHAnsi" w:hAnsiTheme="majorHAnsi" w:cstheme="majorHAnsi"/>
                <w:i/>
                <w:color w:val="808080" w:themeColor="background1" w:themeShade="80"/>
              </w:rPr>
              <w:t xml:space="preserve"> an indicative </w:t>
            </w:r>
            <w:proofErr w:type="spellStart"/>
            <w:r w:rsidRPr="004C0798">
              <w:rPr>
                <w:rFonts w:asciiTheme="majorHAnsi" w:hAnsiTheme="majorHAnsi" w:cstheme="majorHAnsi"/>
                <w:i/>
                <w:color w:val="808080" w:themeColor="background1" w:themeShade="80"/>
              </w:rPr>
              <w:t>list</w:t>
            </w:r>
            <w:proofErr w:type="spellEnd"/>
            <w:r w:rsidRPr="004C0798">
              <w:rPr>
                <w:rFonts w:asciiTheme="majorHAnsi" w:hAnsiTheme="majorHAnsi" w:cstheme="majorHAnsi"/>
                <w:i/>
                <w:color w:val="808080" w:themeColor="background1" w:themeShade="80"/>
              </w:rPr>
              <w:t xml:space="preserve"> of </w:t>
            </w:r>
            <w:proofErr w:type="spellStart"/>
            <w:r w:rsidRPr="004C0798">
              <w:rPr>
                <w:rFonts w:asciiTheme="majorHAnsi" w:hAnsiTheme="majorHAnsi" w:cstheme="majorHAnsi"/>
                <w:i/>
                <w:color w:val="808080" w:themeColor="background1" w:themeShade="80"/>
              </w:rPr>
              <w:t>actions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within</w:t>
            </w:r>
            <w:proofErr w:type="spellEnd"/>
            <w:r w:rsidRPr="004C0798">
              <w:rPr>
                <w:rFonts w:asciiTheme="majorHAnsi" w:hAnsiTheme="majorHAnsi" w:cstheme="majorHAnsi"/>
                <w:i/>
                <w:color w:val="808080" w:themeColor="background1" w:themeShade="80"/>
              </w:rPr>
              <w:t xml:space="preserve"> the </w:t>
            </w:r>
            <w:proofErr w:type="spellStart"/>
            <w:r w:rsidRPr="004C0798">
              <w:rPr>
                <w:rFonts w:asciiTheme="majorHAnsi" w:hAnsiTheme="majorHAnsi" w:cstheme="majorHAnsi"/>
                <w:i/>
                <w:color w:val="808080" w:themeColor="background1" w:themeShade="80"/>
              </w:rPr>
              <w:t>scope</w:t>
            </w:r>
            <w:proofErr w:type="spellEnd"/>
            <w:r w:rsidRPr="004C0798">
              <w:rPr>
                <w:rFonts w:asciiTheme="majorHAnsi" w:hAnsiTheme="majorHAnsi" w:cstheme="majorHAnsi"/>
                <w:i/>
                <w:color w:val="808080" w:themeColor="background1" w:themeShade="80"/>
              </w:rPr>
              <w:t xml:space="preserve"> of </w:t>
            </w:r>
            <w:proofErr w:type="spellStart"/>
            <w:r w:rsidRPr="004C0798">
              <w:rPr>
                <w:rFonts w:asciiTheme="majorHAnsi" w:hAnsiTheme="majorHAnsi" w:cstheme="majorHAnsi"/>
                <w:i/>
                <w:color w:val="808080" w:themeColor="background1" w:themeShade="80"/>
              </w:rPr>
              <w:t>Articles</w:t>
            </w:r>
            <w:proofErr w:type="spellEnd"/>
            <w:r w:rsidRPr="004C0798">
              <w:rPr>
                <w:rFonts w:asciiTheme="majorHAnsi" w:hAnsiTheme="majorHAnsi" w:cstheme="majorHAnsi"/>
                <w:i/>
                <w:color w:val="808080" w:themeColor="background1" w:themeShade="80"/>
              </w:rPr>
              <w:t xml:space="preserve"> 3 </w:t>
            </w:r>
            <w:proofErr w:type="spellStart"/>
            <w:r w:rsidRPr="004C0798">
              <w:rPr>
                <w:rFonts w:asciiTheme="majorHAnsi" w:hAnsiTheme="majorHAnsi" w:cstheme="majorHAnsi"/>
                <w:i/>
                <w:color w:val="808080" w:themeColor="background1" w:themeShade="80"/>
              </w:rPr>
              <w:t>and</w:t>
            </w:r>
            <w:proofErr w:type="spellEnd"/>
            <w:r w:rsidRPr="004C0798">
              <w:rPr>
                <w:rFonts w:asciiTheme="majorHAnsi" w:hAnsiTheme="majorHAnsi" w:cstheme="majorHAnsi"/>
                <w:i/>
                <w:color w:val="808080" w:themeColor="background1" w:themeShade="80"/>
              </w:rPr>
              <w:t xml:space="preserve"> 4 of the AMIF, ISF or BMVI </w:t>
            </w:r>
            <w:proofErr w:type="spellStart"/>
            <w:r w:rsidRPr="004C0798">
              <w:rPr>
                <w:rFonts w:asciiTheme="majorHAnsi" w:hAnsiTheme="majorHAnsi" w:cstheme="majorHAnsi"/>
                <w:i/>
                <w:color w:val="808080" w:themeColor="background1" w:themeShade="80"/>
              </w:rPr>
              <w:t>Regulations</w:t>
            </w:r>
            <w:proofErr w:type="spellEnd"/>
            <w:r w:rsidRPr="004C0798">
              <w:rPr>
                <w:rFonts w:asciiTheme="majorHAnsi" w:hAnsiTheme="majorHAnsi" w:cstheme="majorHAnsi"/>
                <w:i/>
                <w:color w:val="808080" w:themeColor="background1" w:themeShade="80"/>
              </w:rPr>
              <w:t>.</w:t>
            </w:r>
          </w:p>
          <w:p w14:paraId="2CF4D8E4" w14:textId="77777777" w:rsidR="00AE0328" w:rsidRPr="004C0798" w:rsidRDefault="00AE0328" w:rsidP="00AE0328">
            <w:pPr>
              <w:rPr>
                <w:rFonts w:asciiTheme="majorHAnsi" w:hAnsiTheme="majorHAnsi" w:cstheme="majorHAnsi"/>
                <w:i/>
                <w:color w:val="808080" w:themeColor="background1" w:themeShade="80"/>
              </w:rPr>
            </w:pPr>
            <w:r w:rsidRPr="004C0798">
              <w:rPr>
                <w:rFonts w:asciiTheme="majorHAnsi" w:hAnsiTheme="majorHAnsi" w:cstheme="majorHAnsi"/>
                <w:i/>
                <w:color w:val="808080" w:themeColor="background1" w:themeShade="80"/>
              </w:rPr>
              <w:t xml:space="preserve">In particular: For </w:t>
            </w:r>
            <w:proofErr w:type="spellStart"/>
            <w:r w:rsidRPr="004C0798">
              <w:rPr>
                <w:rFonts w:asciiTheme="majorHAnsi" w:hAnsiTheme="majorHAnsi" w:cstheme="majorHAnsi"/>
                <w:i/>
                <w:color w:val="808080" w:themeColor="background1" w:themeShade="80"/>
              </w:rPr>
              <w:t>operating</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support</w:t>
            </w:r>
            <w:proofErr w:type="spellEnd"/>
            <w:r w:rsidRPr="004C0798">
              <w:rPr>
                <w:rFonts w:asciiTheme="majorHAnsi" w:hAnsiTheme="majorHAnsi" w:cstheme="majorHAnsi"/>
                <w:i/>
                <w:color w:val="808080" w:themeColor="background1" w:themeShade="80"/>
              </w:rPr>
              <w:t xml:space="preserve">, it </w:t>
            </w:r>
            <w:proofErr w:type="spellStart"/>
            <w:r w:rsidRPr="004C0798">
              <w:rPr>
                <w:rFonts w:asciiTheme="majorHAnsi" w:hAnsiTheme="majorHAnsi" w:cstheme="majorHAnsi"/>
                <w:i/>
                <w:color w:val="808080" w:themeColor="background1" w:themeShade="80"/>
              </w:rPr>
              <w:t>provides</w:t>
            </w:r>
            <w:proofErr w:type="spellEnd"/>
            <w:r w:rsidRPr="004C0798">
              <w:rPr>
                <w:rFonts w:asciiTheme="majorHAnsi" w:hAnsiTheme="majorHAnsi" w:cstheme="majorHAnsi"/>
                <w:i/>
                <w:color w:val="808080" w:themeColor="background1" w:themeShade="80"/>
              </w:rPr>
              <w:t xml:space="preserve"> a </w:t>
            </w:r>
            <w:proofErr w:type="spellStart"/>
            <w:r w:rsidRPr="004C0798">
              <w:rPr>
                <w:rFonts w:asciiTheme="majorHAnsi" w:hAnsiTheme="majorHAnsi" w:cstheme="majorHAnsi"/>
                <w:i/>
                <w:color w:val="808080" w:themeColor="background1" w:themeShade="80"/>
              </w:rPr>
              <w:t>justification</w:t>
            </w:r>
            <w:proofErr w:type="spellEnd"/>
            <w:r w:rsidRPr="004C0798">
              <w:rPr>
                <w:rFonts w:asciiTheme="majorHAnsi" w:hAnsiTheme="majorHAnsi" w:cstheme="majorHAnsi"/>
                <w:i/>
                <w:color w:val="808080" w:themeColor="background1" w:themeShade="80"/>
              </w:rPr>
              <w:t xml:space="preserve"> in line </w:t>
            </w:r>
            <w:proofErr w:type="spellStart"/>
            <w:r w:rsidRPr="004C0798">
              <w:rPr>
                <w:rFonts w:asciiTheme="majorHAnsi" w:hAnsiTheme="majorHAnsi" w:cstheme="majorHAnsi"/>
                <w:i/>
                <w:color w:val="808080" w:themeColor="background1" w:themeShade="80"/>
              </w:rPr>
              <w:t>with</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Article</w:t>
            </w:r>
            <w:proofErr w:type="spellEnd"/>
            <w:r w:rsidRPr="004C0798">
              <w:rPr>
                <w:rFonts w:asciiTheme="majorHAnsi" w:hAnsiTheme="majorHAnsi" w:cstheme="majorHAnsi"/>
                <w:i/>
                <w:color w:val="808080" w:themeColor="background1" w:themeShade="80"/>
              </w:rPr>
              <w:t xml:space="preserve"> 15</w:t>
            </w:r>
            <w:r w:rsidRPr="004C0798">
              <w:rPr>
                <w:rFonts w:asciiTheme="majorHAnsi" w:hAnsiTheme="majorHAnsi" w:cstheme="majorHAnsi"/>
                <w:i/>
                <w:color w:val="808080" w:themeColor="background1" w:themeShade="80"/>
                <w:vertAlign w:val="superscript"/>
              </w:rPr>
              <w:footnoteReference w:id="4"/>
            </w:r>
            <w:r w:rsidRPr="004C0798">
              <w:rPr>
                <w:rFonts w:asciiTheme="majorHAnsi" w:hAnsiTheme="majorHAnsi" w:cstheme="majorHAnsi"/>
                <w:i/>
                <w:color w:val="808080" w:themeColor="background1" w:themeShade="80"/>
              </w:rPr>
              <w:t xml:space="preserve">of the ISF </w:t>
            </w:r>
            <w:proofErr w:type="spellStart"/>
            <w:r w:rsidRPr="004C0798">
              <w:rPr>
                <w:rFonts w:asciiTheme="majorHAnsi" w:hAnsiTheme="majorHAnsi" w:cstheme="majorHAnsi"/>
                <w:i/>
                <w:color w:val="808080" w:themeColor="background1" w:themeShade="80"/>
              </w:rPr>
              <w:t>Regulation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Articles</w:t>
            </w:r>
            <w:proofErr w:type="spellEnd"/>
            <w:r w:rsidRPr="004C0798">
              <w:rPr>
                <w:rFonts w:asciiTheme="majorHAnsi" w:hAnsiTheme="majorHAnsi" w:cstheme="majorHAnsi"/>
                <w:i/>
                <w:color w:val="808080" w:themeColor="background1" w:themeShade="80"/>
              </w:rPr>
              <w:t xml:space="preserve"> 15 </w:t>
            </w:r>
            <w:proofErr w:type="spellStart"/>
            <w:r w:rsidRPr="004C0798">
              <w:rPr>
                <w:rFonts w:asciiTheme="majorHAnsi" w:hAnsiTheme="majorHAnsi" w:cstheme="majorHAnsi"/>
                <w:i/>
                <w:color w:val="808080" w:themeColor="background1" w:themeShade="80"/>
              </w:rPr>
              <w:t>and</w:t>
            </w:r>
            <w:proofErr w:type="spellEnd"/>
            <w:r w:rsidRPr="004C0798">
              <w:rPr>
                <w:rFonts w:asciiTheme="majorHAnsi" w:hAnsiTheme="majorHAnsi" w:cstheme="majorHAnsi"/>
                <w:i/>
                <w:color w:val="808080" w:themeColor="background1" w:themeShade="80"/>
              </w:rPr>
              <w:t xml:space="preserve"> 16 of the BMVI </w:t>
            </w:r>
            <w:proofErr w:type="spellStart"/>
            <w:r w:rsidRPr="004C0798">
              <w:rPr>
                <w:rFonts w:asciiTheme="majorHAnsi" w:hAnsiTheme="majorHAnsi" w:cstheme="majorHAnsi"/>
                <w:i/>
                <w:color w:val="808080" w:themeColor="background1" w:themeShade="80"/>
              </w:rPr>
              <w:t>Regulation</w:t>
            </w:r>
            <w:proofErr w:type="spellEnd"/>
            <w:r w:rsidRPr="004C0798">
              <w:rPr>
                <w:rFonts w:asciiTheme="majorHAnsi" w:hAnsiTheme="majorHAnsi" w:cstheme="majorHAnsi"/>
                <w:i/>
                <w:color w:val="808080" w:themeColor="background1" w:themeShade="80"/>
              </w:rPr>
              <w:t xml:space="preserve"> or </w:t>
            </w:r>
            <w:proofErr w:type="spellStart"/>
            <w:r w:rsidRPr="004C0798">
              <w:rPr>
                <w:rFonts w:asciiTheme="majorHAnsi" w:hAnsiTheme="majorHAnsi" w:cstheme="majorHAnsi"/>
                <w:i/>
                <w:color w:val="808080" w:themeColor="background1" w:themeShade="80"/>
              </w:rPr>
              <w:t>Artic</w:t>
            </w:r>
            <w:proofErr w:type="spellEnd"/>
            <w:r w:rsidRPr="004C0798">
              <w:rPr>
                <w:rFonts w:asciiTheme="majorHAnsi" w:hAnsiTheme="majorHAnsi" w:cstheme="majorHAnsi"/>
                <w:i/>
                <w:color w:val="808080" w:themeColor="background1" w:themeShade="80"/>
              </w:rPr>
              <w:t xml:space="preserve">-le 18 of the AMIF </w:t>
            </w:r>
            <w:proofErr w:type="spellStart"/>
            <w:r w:rsidRPr="004C0798">
              <w:rPr>
                <w:rFonts w:asciiTheme="majorHAnsi" w:hAnsiTheme="majorHAnsi" w:cstheme="majorHAnsi"/>
                <w:i/>
                <w:color w:val="808080" w:themeColor="background1" w:themeShade="80"/>
              </w:rPr>
              <w:t>Regulation</w:t>
            </w:r>
            <w:proofErr w:type="spellEnd"/>
            <w:r w:rsidRPr="004C0798">
              <w:rPr>
                <w:rFonts w:asciiTheme="majorHAnsi" w:hAnsiTheme="majorHAnsi" w:cstheme="majorHAnsi"/>
                <w:i/>
                <w:color w:val="808080" w:themeColor="background1" w:themeShade="80"/>
              </w:rPr>
              <w:t xml:space="preserve">. It </w:t>
            </w:r>
            <w:proofErr w:type="spellStart"/>
            <w:r w:rsidRPr="004C0798">
              <w:rPr>
                <w:rFonts w:asciiTheme="majorHAnsi" w:hAnsiTheme="majorHAnsi" w:cstheme="majorHAnsi"/>
                <w:i/>
                <w:color w:val="808080" w:themeColor="background1" w:themeShade="80"/>
              </w:rPr>
              <w:t>includes</w:t>
            </w:r>
            <w:proofErr w:type="spellEnd"/>
            <w:r w:rsidRPr="004C0798">
              <w:rPr>
                <w:rFonts w:asciiTheme="majorHAnsi" w:hAnsiTheme="majorHAnsi" w:cstheme="majorHAnsi"/>
                <w:i/>
                <w:color w:val="808080" w:themeColor="background1" w:themeShade="80"/>
              </w:rPr>
              <w:t xml:space="preserve"> an indicative </w:t>
            </w:r>
            <w:proofErr w:type="spellStart"/>
            <w:r w:rsidRPr="004C0798">
              <w:rPr>
                <w:rFonts w:asciiTheme="majorHAnsi" w:hAnsiTheme="majorHAnsi" w:cstheme="majorHAnsi"/>
                <w:i/>
                <w:color w:val="808080" w:themeColor="background1" w:themeShade="80"/>
              </w:rPr>
              <w:t>list</w:t>
            </w:r>
            <w:proofErr w:type="spellEnd"/>
            <w:r w:rsidRPr="004C0798">
              <w:rPr>
                <w:rFonts w:asciiTheme="majorHAnsi" w:hAnsiTheme="majorHAnsi" w:cstheme="majorHAnsi"/>
                <w:i/>
                <w:color w:val="808080" w:themeColor="background1" w:themeShade="80"/>
              </w:rPr>
              <w:t xml:space="preserve"> of </w:t>
            </w:r>
            <w:proofErr w:type="spellStart"/>
            <w:r w:rsidRPr="004C0798">
              <w:rPr>
                <w:rFonts w:asciiTheme="majorHAnsi" w:hAnsiTheme="majorHAnsi" w:cstheme="majorHAnsi"/>
                <w:i/>
                <w:color w:val="808080" w:themeColor="background1" w:themeShade="80"/>
              </w:rPr>
              <w:t>beneficiaries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with</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their</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statutory</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responsibilities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main</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tasks</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to</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be</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supported</w:t>
            </w:r>
            <w:proofErr w:type="spellEnd"/>
            <w:r w:rsidRPr="004C0798">
              <w:rPr>
                <w:rFonts w:asciiTheme="majorHAnsi" w:hAnsiTheme="majorHAnsi" w:cstheme="majorHAnsi"/>
                <w:i/>
                <w:color w:val="808080" w:themeColor="background1" w:themeShade="80"/>
              </w:rPr>
              <w:t xml:space="preserve">. </w:t>
            </w:r>
          </w:p>
          <w:p w14:paraId="48315DCC" w14:textId="77777777" w:rsidR="00AE0328" w:rsidRPr="004C0798" w:rsidRDefault="00AE0328" w:rsidP="00AE0328">
            <w:pPr>
              <w:rPr>
                <w:rFonts w:asciiTheme="majorHAnsi" w:hAnsiTheme="majorHAnsi" w:cstheme="majorHAnsi"/>
                <w:i/>
                <w:color w:val="808080" w:themeColor="background1" w:themeShade="80"/>
              </w:rPr>
            </w:pPr>
            <w:r w:rsidRPr="004C0798">
              <w:rPr>
                <w:rFonts w:asciiTheme="majorHAnsi" w:hAnsiTheme="majorHAnsi" w:cstheme="majorHAnsi"/>
                <w:i/>
                <w:color w:val="808080" w:themeColor="background1" w:themeShade="80"/>
              </w:rPr>
              <w:t xml:space="preserve">AMIF </w:t>
            </w:r>
            <w:proofErr w:type="spellStart"/>
            <w:r w:rsidRPr="004C0798">
              <w:rPr>
                <w:rFonts w:asciiTheme="majorHAnsi" w:hAnsiTheme="majorHAnsi" w:cstheme="majorHAnsi"/>
                <w:i/>
                <w:color w:val="808080" w:themeColor="background1" w:themeShade="80"/>
              </w:rPr>
              <w:t>only</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resettlement</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and</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solidarity</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shall</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be</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presented</w:t>
            </w:r>
            <w:proofErr w:type="spellEnd"/>
            <w:r w:rsidRPr="004C0798">
              <w:rPr>
                <w:rFonts w:asciiTheme="majorHAnsi" w:hAnsiTheme="majorHAnsi" w:cstheme="majorHAnsi"/>
                <w:i/>
                <w:color w:val="808080" w:themeColor="background1" w:themeShade="80"/>
              </w:rPr>
              <w:t xml:space="preserve"> </w:t>
            </w:r>
            <w:proofErr w:type="spellStart"/>
            <w:r w:rsidRPr="004C0798">
              <w:rPr>
                <w:rFonts w:asciiTheme="majorHAnsi" w:hAnsiTheme="majorHAnsi" w:cstheme="majorHAnsi"/>
                <w:i/>
                <w:color w:val="808080" w:themeColor="background1" w:themeShade="80"/>
              </w:rPr>
              <w:t>separately</w:t>
            </w:r>
            <w:proofErr w:type="spellEnd"/>
            <w:r w:rsidRPr="004C0798">
              <w:rPr>
                <w:rFonts w:asciiTheme="majorHAnsi" w:hAnsiTheme="majorHAnsi" w:cstheme="majorHAnsi"/>
                <w:i/>
                <w:color w:val="808080" w:themeColor="background1" w:themeShade="80"/>
              </w:rPr>
              <w:t xml:space="preserve">. </w:t>
            </w:r>
          </w:p>
          <w:p w14:paraId="2713A474" w14:textId="5EAA2F66" w:rsidR="00AE0328" w:rsidRDefault="00AE0328" w:rsidP="00AE0328">
            <w:r w:rsidRPr="004C0798">
              <w:rPr>
                <w:rFonts w:asciiTheme="majorHAnsi" w:hAnsiTheme="majorHAnsi" w:cstheme="majorHAnsi"/>
                <w:i/>
                <w:color w:val="808080" w:themeColor="background1" w:themeShade="80"/>
              </w:rPr>
              <w:t xml:space="preserve">Text </w:t>
            </w:r>
            <w:proofErr w:type="spellStart"/>
            <w:r w:rsidRPr="004C0798">
              <w:rPr>
                <w:rFonts w:asciiTheme="majorHAnsi" w:hAnsiTheme="majorHAnsi" w:cstheme="majorHAnsi"/>
                <w:i/>
                <w:color w:val="808080" w:themeColor="background1" w:themeShade="80"/>
              </w:rPr>
              <w:t>field</w:t>
            </w:r>
            <w:proofErr w:type="spellEnd"/>
            <w:r w:rsidRPr="004C0798">
              <w:rPr>
                <w:rFonts w:asciiTheme="majorHAnsi" w:hAnsiTheme="majorHAnsi" w:cstheme="majorHAnsi"/>
                <w:i/>
                <w:color w:val="808080" w:themeColor="background1" w:themeShade="80"/>
              </w:rPr>
              <w:t xml:space="preserve"> (16 000 </w:t>
            </w:r>
            <w:proofErr w:type="spellStart"/>
            <w:r w:rsidRPr="004C0798">
              <w:rPr>
                <w:rFonts w:asciiTheme="majorHAnsi" w:hAnsiTheme="majorHAnsi" w:cstheme="majorHAnsi"/>
                <w:i/>
                <w:color w:val="808080" w:themeColor="background1" w:themeShade="80"/>
              </w:rPr>
              <w:t>characters</w:t>
            </w:r>
            <w:proofErr w:type="spellEnd"/>
            <w:r w:rsidRPr="004C0798">
              <w:rPr>
                <w:rFonts w:asciiTheme="majorHAnsi" w:hAnsiTheme="majorHAnsi" w:cstheme="majorHAnsi"/>
                <w:i/>
                <w:color w:val="808080" w:themeColor="background1" w:themeShade="80"/>
              </w:rPr>
              <w:t>)</w:t>
            </w:r>
          </w:p>
        </w:tc>
      </w:tr>
    </w:tbl>
    <w:p w14:paraId="36A6BC60" w14:textId="77777777" w:rsidR="00AE0328" w:rsidRDefault="00AE0328" w:rsidP="00320586">
      <w:pPr>
        <w:spacing w:after="120" w:line="240" w:lineRule="auto"/>
        <w:ind w:right="-1"/>
        <w:jc w:val="both"/>
        <w:rPr>
          <w:rFonts w:asciiTheme="majorHAnsi" w:eastAsia="Arial Narrow" w:hAnsiTheme="majorHAnsi" w:cstheme="majorHAnsi"/>
          <w:sz w:val="24"/>
          <w:szCs w:val="24"/>
        </w:rPr>
      </w:pPr>
    </w:p>
    <w:p w14:paraId="12E2982D" w14:textId="1729B8E4" w:rsidR="00612B49" w:rsidRPr="006A46D0" w:rsidRDefault="006A46D0" w:rsidP="00320586">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În cadrul </w:t>
      </w:r>
      <w:r w:rsidRPr="006A46D0">
        <w:rPr>
          <w:rFonts w:asciiTheme="majorHAnsi" w:eastAsia="Arial Narrow" w:hAnsiTheme="majorHAnsi" w:cstheme="majorHAnsi"/>
          <w:b/>
          <w:sz w:val="24"/>
          <w:szCs w:val="24"/>
        </w:rPr>
        <w:t>politicii comune de vize</w:t>
      </w:r>
      <w:r w:rsidRPr="006A46D0">
        <w:rPr>
          <w:rFonts w:asciiTheme="majorHAnsi" w:eastAsia="Arial Narrow" w:hAnsiTheme="majorHAnsi" w:cstheme="majorHAnsi"/>
          <w:sz w:val="24"/>
          <w:szCs w:val="24"/>
        </w:rPr>
        <w:t>, RO are ca scop să sprijine și să extindă capacitatea existentă la nivel național, pentru a asigura aplicarea corectă a acquis ului Uniunii în ceea ce privește vizele, ca o cerință pentru viitoarea aderare a României la spațiul Schengen.</w:t>
      </w:r>
    </w:p>
    <w:p w14:paraId="5B434864" w14:textId="41CAC743" w:rsidR="00612B49" w:rsidRPr="006A46D0" w:rsidRDefault="006A46D0" w:rsidP="00320586">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Dezvoltarea permanentă a capacității operaționale a RO în domeniul emiterii de vize include și asigurarea unor spații de lucru adecvate pentru activitatea consulară, prin modernizarea și reamenajarea sediilor oficiilor consulare. Până în prezent, au fost reabilitate/modernizate 44 de Oficii Consulare, atât cu fonduri proprii, cât și cu sprijinul fondurilor europene nerambursabile precum Facilitatea Schengen, Fondul pentru Frontierele Externe sau Fondul pentru Securitate Internă, CFM 2014-2020. În unele zone geografice care prezintă riscuri de securitate, migrație ilegală și potențial terorist sunt situate oficii consulare ale României unde este nevoie de lucrări de reamenajare pentru asigurarea condițiilor de lucru și de siguranță conforme cu reglementările din domeniu. Aceste Oficii Consulare nu au beneficiat în trecut de asemenea lucrări de reamenajare, nu dispun de spații de lucru în conformitate cu standardele, regulamentele și practicile uniforme UE în materie de emitere a vizelor și nu dispun de infrastructura necesară pentru asigurarea în depline condiții a securității clădirilor, a personalului consular și a solicitanților de viză.</w:t>
      </w:r>
    </w:p>
    <w:p w14:paraId="3F3D079C" w14:textId="77777777" w:rsidR="00612B49" w:rsidRPr="006A46D0" w:rsidRDefault="006A46D0" w:rsidP="00320586">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În acest context, una dintre prioritățile specifice abordate în Programul Național IMFV este continuarea investițiilor în domeniul consular prin dezvoltarea și modernizarea infrastructurii oficiilor consulare.</w:t>
      </w:r>
    </w:p>
    <w:p w14:paraId="2359B900" w14:textId="77777777" w:rsidR="00612B49" w:rsidRPr="006A46D0" w:rsidRDefault="006A46D0" w:rsidP="00320586">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 </w:t>
      </w:r>
    </w:p>
    <w:p w14:paraId="441AF9DC" w14:textId="77777777" w:rsidR="00612B49" w:rsidRPr="006A46D0" w:rsidRDefault="006A46D0" w:rsidP="00320586">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În contextul luării unei decizii a Consiliului UE privind interconectarea la sistemul central, Sistemul Național de Informații privind vizele (</w:t>
      </w:r>
      <w:r w:rsidRPr="006A46D0">
        <w:rPr>
          <w:rFonts w:asciiTheme="majorHAnsi" w:eastAsia="Arial Narrow" w:hAnsiTheme="majorHAnsi" w:cstheme="majorHAnsi"/>
          <w:b/>
          <w:sz w:val="24"/>
          <w:szCs w:val="24"/>
        </w:rPr>
        <w:t>SNIV</w:t>
      </w:r>
      <w:r w:rsidRPr="006A46D0">
        <w:rPr>
          <w:rFonts w:asciiTheme="majorHAnsi" w:eastAsia="Arial Narrow" w:hAnsiTheme="majorHAnsi" w:cstheme="majorHAnsi"/>
          <w:sz w:val="24"/>
          <w:szCs w:val="24"/>
        </w:rPr>
        <w:t xml:space="preserve">) trebuie să poată fi conectat în orice moment la rețeaua centrală VIS și activat pentru a fi operațional într-un mediu </w:t>
      </w:r>
      <w:proofErr w:type="spellStart"/>
      <w:r w:rsidRPr="006A46D0">
        <w:rPr>
          <w:rFonts w:asciiTheme="majorHAnsi" w:eastAsia="Arial Narrow" w:hAnsiTheme="majorHAnsi" w:cstheme="majorHAnsi"/>
          <w:sz w:val="24"/>
          <w:szCs w:val="24"/>
        </w:rPr>
        <w:t>multi</w:t>
      </w:r>
      <w:proofErr w:type="spellEnd"/>
      <w:r w:rsidRPr="006A46D0">
        <w:rPr>
          <w:rFonts w:asciiTheme="majorHAnsi" w:eastAsia="Arial Narrow" w:hAnsiTheme="majorHAnsi" w:cstheme="majorHAnsi"/>
          <w:sz w:val="24"/>
          <w:szCs w:val="24"/>
        </w:rPr>
        <w:t xml:space="preserve">-utilizator. Această capabilitate a fost verificată încă din anul 2010 ca urmare a testelor efectuate cu experții UE și încheiate cu rezultate pozitive. În anul 2011, a fost finalizată operaționalizarea integrală a SNIV la toate oficiile consulare din străinătate, sistem prin intermediul căruia România dispune de toate capacitățile tehnice de a emite vize </w:t>
      </w:r>
      <w:proofErr w:type="spellStart"/>
      <w:r w:rsidRPr="006A46D0">
        <w:rPr>
          <w:rFonts w:asciiTheme="majorHAnsi" w:eastAsia="Arial Narrow" w:hAnsiTheme="majorHAnsi" w:cstheme="majorHAnsi"/>
          <w:sz w:val="24"/>
          <w:szCs w:val="24"/>
        </w:rPr>
        <w:t>biometrice</w:t>
      </w:r>
      <w:proofErr w:type="spellEnd"/>
      <w:r w:rsidRPr="006A46D0">
        <w:rPr>
          <w:rFonts w:asciiTheme="majorHAnsi" w:eastAsia="Arial Narrow" w:hAnsiTheme="majorHAnsi" w:cstheme="majorHAnsi"/>
          <w:sz w:val="24"/>
          <w:szCs w:val="24"/>
        </w:rPr>
        <w:t xml:space="preserve"> și de a efectua verificări/ identificări de persoane, în baza datelor </w:t>
      </w:r>
      <w:proofErr w:type="spellStart"/>
      <w:r w:rsidRPr="006A46D0">
        <w:rPr>
          <w:rFonts w:asciiTheme="majorHAnsi" w:eastAsia="Arial Narrow" w:hAnsiTheme="majorHAnsi" w:cstheme="majorHAnsi"/>
          <w:sz w:val="24"/>
          <w:szCs w:val="24"/>
        </w:rPr>
        <w:t>biometrice</w:t>
      </w:r>
      <w:proofErr w:type="spellEnd"/>
      <w:r w:rsidRPr="006A46D0">
        <w:rPr>
          <w:rFonts w:asciiTheme="majorHAnsi" w:eastAsia="Arial Narrow" w:hAnsiTheme="majorHAnsi" w:cstheme="majorHAnsi"/>
          <w:sz w:val="24"/>
          <w:szCs w:val="24"/>
        </w:rPr>
        <w:t xml:space="preserve"> preluate, conform reglementărilor europene în domeniu. În același timp, a fost finalizată </w:t>
      </w:r>
      <w:r w:rsidRPr="006A46D0">
        <w:rPr>
          <w:rFonts w:asciiTheme="majorHAnsi" w:eastAsia="Arial Narrow" w:hAnsiTheme="majorHAnsi" w:cstheme="majorHAnsi"/>
          <w:sz w:val="24"/>
          <w:szCs w:val="24"/>
        </w:rPr>
        <w:lastRenderedPageBreak/>
        <w:t>și implementarea infrastructurii de comunicații voce aferente funcționării SNIV. În cadrul infrastructurii de voce au fost instalate echipamente de comunicații de voce în toate misiunile diplomatice și oficiile consulare. La acest moment, infrastructura de voce aferentă SNIV este instalată și funcțională în toate locațiile în care MAE desfășoară activități, adică în totalitatea misiunilor diplomatice și oficiilor consulare ale României din străinătate precum și în locațiile din București. Întreaga infrastructură de voce instalată în cadrul misiunilor diplomatice și oficiilor consulare ale României din străinătate precum și din sediile din România este privită din punct de vedere funcțional ca un sistem global, astfel că orice modificare necesară va fi realizată în toate locațiile pentru a se păstra omogenitatea și compatibilitatea întregii soluții.</w:t>
      </w:r>
    </w:p>
    <w:p w14:paraId="59F043FD" w14:textId="77777777" w:rsidR="00612B49" w:rsidRPr="006A46D0" w:rsidRDefault="006A46D0" w:rsidP="00320586">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 </w:t>
      </w:r>
    </w:p>
    <w:p w14:paraId="716D1D4B" w14:textId="77777777" w:rsidR="00612B49" w:rsidRPr="006A46D0" w:rsidRDefault="006A46D0" w:rsidP="00320586">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Pentru stabilirea unor practici comune de acțiune, la nivelul statelor membre este necesară desfășurarea de </w:t>
      </w:r>
      <w:r w:rsidRPr="006A46D0">
        <w:rPr>
          <w:rFonts w:asciiTheme="majorHAnsi" w:eastAsia="Arial Narrow" w:hAnsiTheme="majorHAnsi" w:cstheme="majorHAnsi"/>
          <w:b/>
          <w:sz w:val="24"/>
          <w:szCs w:val="24"/>
        </w:rPr>
        <w:t>reuniuni consulare regionale</w:t>
      </w:r>
      <w:r w:rsidRPr="006A46D0">
        <w:rPr>
          <w:rFonts w:asciiTheme="majorHAnsi" w:eastAsia="Arial Narrow" w:hAnsiTheme="majorHAnsi" w:cstheme="majorHAnsi"/>
          <w:sz w:val="24"/>
          <w:szCs w:val="24"/>
        </w:rPr>
        <w:t>, la care să participe personalul consular al statelor membre din zona respectivă, precum și reprezentanți cu atribuții specifice din statele terțe din zonă. Derularea unor astfel de activități va aduce ca beneficiu cunoașterea la nivelul statelor terțe a măsurilor, procedurilor și bunelor practici ce ghidează în procesul de prelucrare a cererilor de vize.</w:t>
      </w:r>
    </w:p>
    <w:p w14:paraId="0209C507" w14:textId="77777777" w:rsidR="00612B49" w:rsidRPr="006A46D0" w:rsidRDefault="006A46D0" w:rsidP="00320586">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În vederea asigurării unor servicii de calitate pentru solicitanții de vize, este necesar ca personalul cu atribuții din consulate să beneficieze de </w:t>
      </w:r>
      <w:r w:rsidRPr="006A46D0">
        <w:rPr>
          <w:rFonts w:asciiTheme="majorHAnsi" w:eastAsia="Arial Narrow" w:hAnsiTheme="majorHAnsi" w:cstheme="majorHAnsi"/>
          <w:b/>
          <w:sz w:val="24"/>
          <w:szCs w:val="24"/>
        </w:rPr>
        <w:t>programe permanente de instruire</w:t>
      </w:r>
      <w:r w:rsidRPr="006A46D0">
        <w:rPr>
          <w:rFonts w:asciiTheme="majorHAnsi" w:eastAsia="Arial Narrow" w:hAnsiTheme="majorHAnsi" w:cstheme="majorHAnsi"/>
          <w:sz w:val="24"/>
          <w:szCs w:val="24"/>
        </w:rPr>
        <w:t>. Astfel, se impune implementarea unei politici instituționale prin care personalul cu atribuții din consulate să beneficieze de programe de instruire în mod permanent, cu acces nelimitat de timp și spațiu, fiind astfel în măsură a se perfecționa și a asigura un serviciu de calitate, conform legislației în vigoare și a bunelor practici stabilite in cadrul statelor membre.</w:t>
      </w:r>
    </w:p>
    <w:p w14:paraId="4BD85DE8" w14:textId="77777777" w:rsidR="00612B49" w:rsidRPr="006A46D0" w:rsidRDefault="006A46D0" w:rsidP="00320586">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Având în vedere cele de mai sus, prin PN IMFV în cadrul Obiectivului specific 2, se vor </w:t>
      </w:r>
      <w:r w:rsidRPr="006A46D0">
        <w:rPr>
          <w:rFonts w:asciiTheme="majorHAnsi" w:eastAsia="Arial Narrow" w:hAnsiTheme="majorHAnsi" w:cstheme="majorHAnsi"/>
          <w:b/>
          <w:sz w:val="24"/>
          <w:szCs w:val="24"/>
        </w:rPr>
        <w:t>implementa următoarele măsuri</w:t>
      </w:r>
      <w:r w:rsidRPr="006A46D0">
        <w:rPr>
          <w:rFonts w:asciiTheme="majorHAnsi" w:eastAsia="Arial Narrow" w:hAnsiTheme="majorHAnsi" w:cstheme="majorHAnsi"/>
          <w:sz w:val="24"/>
          <w:szCs w:val="24"/>
        </w:rPr>
        <w:t>:</w:t>
      </w:r>
    </w:p>
    <w:p w14:paraId="4697683F" w14:textId="57A86B82" w:rsidR="00612B49" w:rsidRPr="00320586" w:rsidRDefault="006A46D0" w:rsidP="00320586">
      <w:pPr>
        <w:pStyle w:val="ListParagraph"/>
        <w:numPr>
          <w:ilvl w:val="0"/>
          <w:numId w:val="3"/>
        </w:numPr>
        <w:spacing w:after="120" w:line="240" w:lineRule="auto"/>
        <w:ind w:right="-1"/>
        <w:jc w:val="both"/>
        <w:rPr>
          <w:rFonts w:asciiTheme="majorHAnsi" w:eastAsia="Arial Narrow" w:hAnsiTheme="majorHAnsi" w:cstheme="majorHAnsi"/>
          <w:sz w:val="24"/>
          <w:szCs w:val="24"/>
        </w:rPr>
      </w:pPr>
      <w:r w:rsidRPr="00320586">
        <w:rPr>
          <w:rFonts w:asciiTheme="majorHAnsi" w:eastAsia="Arial Narrow" w:hAnsiTheme="majorHAnsi" w:cstheme="majorHAnsi"/>
          <w:sz w:val="24"/>
          <w:szCs w:val="24"/>
        </w:rPr>
        <w:t>furnizarea unor servicii eficace și adaptate nevoilor solicitanților de viză, menținând, în același timp, securitatea și integritatea procedurii de eliberare a vizelor;</w:t>
      </w:r>
    </w:p>
    <w:p w14:paraId="398716FF" w14:textId="4B7B3175" w:rsidR="00612B49" w:rsidRPr="00320586" w:rsidRDefault="006A46D0" w:rsidP="00320586">
      <w:pPr>
        <w:pStyle w:val="ListParagraph"/>
        <w:numPr>
          <w:ilvl w:val="0"/>
          <w:numId w:val="3"/>
        </w:numPr>
        <w:spacing w:after="120" w:line="240" w:lineRule="auto"/>
        <w:ind w:right="-1"/>
        <w:jc w:val="both"/>
        <w:rPr>
          <w:rFonts w:asciiTheme="majorHAnsi" w:eastAsia="Arial Narrow" w:hAnsiTheme="majorHAnsi" w:cstheme="majorHAnsi"/>
          <w:sz w:val="24"/>
          <w:szCs w:val="24"/>
        </w:rPr>
      </w:pPr>
      <w:r w:rsidRPr="00320586">
        <w:rPr>
          <w:rFonts w:asciiTheme="majorHAnsi" w:eastAsia="Arial Narrow" w:hAnsiTheme="majorHAnsi" w:cstheme="majorHAnsi"/>
          <w:sz w:val="24"/>
          <w:szCs w:val="24"/>
        </w:rPr>
        <w:t>asigurarea aplicării uniforme a acquis-ului Uniunii în materie de vize, inclusiv dezvoltarea și modernizarea în continuare a politicii comune în domeniul vizelor;</w:t>
      </w:r>
    </w:p>
    <w:p w14:paraId="0E8A13E0" w14:textId="486CA9C4" w:rsidR="00612B49" w:rsidRPr="00320586" w:rsidRDefault="006A46D0" w:rsidP="00320586">
      <w:pPr>
        <w:pStyle w:val="ListParagraph"/>
        <w:numPr>
          <w:ilvl w:val="0"/>
          <w:numId w:val="3"/>
        </w:numPr>
        <w:spacing w:after="120" w:line="240" w:lineRule="auto"/>
        <w:ind w:right="-1"/>
        <w:jc w:val="both"/>
        <w:rPr>
          <w:rFonts w:asciiTheme="majorHAnsi" w:eastAsia="Arial Narrow" w:hAnsiTheme="majorHAnsi" w:cstheme="majorHAnsi"/>
          <w:sz w:val="24"/>
          <w:szCs w:val="24"/>
        </w:rPr>
      </w:pPr>
      <w:r w:rsidRPr="00320586">
        <w:rPr>
          <w:rFonts w:asciiTheme="majorHAnsi" w:eastAsia="Arial Narrow" w:hAnsiTheme="majorHAnsi" w:cstheme="majorHAnsi"/>
          <w:sz w:val="24"/>
          <w:szCs w:val="24"/>
        </w:rPr>
        <w:t>dezvoltarea a diferite forme de cooperare între statele membre în materie de prelucrare a cererilor de viză;</w:t>
      </w:r>
    </w:p>
    <w:p w14:paraId="622926AE" w14:textId="0B468875" w:rsidR="00612B49" w:rsidRPr="00320586" w:rsidRDefault="006A46D0" w:rsidP="00320586">
      <w:pPr>
        <w:pStyle w:val="ListParagraph"/>
        <w:numPr>
          <w:ilvl w:val="0"/>
          <w:numId w:val="3"/>
        </w:numPr>
        <w:spacing w:after="120" w:line="240" w:lineRule="auto"/>
        <w:ind w:right="-1"/>
        <w:jc w:val="both"/>
        <w:rPr>
          <w:rFonts w:asciiTheme="majorHAnsi" w:eastAsia="Arial Narrow" w:hAnsiTheme="majorHAnsi" w:cstheme="majorHAnsi"/>
          <w:sz w:val="24"/>
          <w:szCs w:val="24"/>
        </w:rPr>
      </w:pPr>
      <w:r w:rsidRPr="00320586">
        <w:rPr>
          <w:rFonts w:asciiTheme="majorHAnsi" w:eastAsia="Arial Narrow" w:hAnsiTheme="majorHAnsi" w:cstheme="majorHAnsi"/>
          <w:sz w:val="24"/>
          <w:szCs w:val="24"/>
        </w:rPr>
        <w:t>crearea, exploatarea și întreținerea sistemelor informatice la scară largă în domeniul politicii comune a vizelor, inclusiv în ceea ce privește interoperabilitatea acestor sisteme informatice și a infrastructurii lor de comunicații.</w:t>
      </w:r>
    </w:p>
    <w:p w14:paraId="0E336296" w14:textId="77777777" w:rsidR="00612B49" w:rsidRPr="006A46D0" w:rsidRDefault="006A46D0" w:rsidP="00320586">
      <w:pPr>
        <w:spacing w:after="120" w:line="240" w:lineRule="auto"/>
        <w:ind w:right="-1"/>
        <w:jc w:val="both"/>
        <w:rPr>
          <w:rFonts w:asciiTheme="majorHAnsi" w:eastAsia="Arial Narrow" w:hAnsiTheme="majorHAnsi" w:cstheme="majorHAnsi"/>
          <w:sz w:val="24"/>
          <w:szCs w:val="24"/>
        </w:rPr>
      </w:pPr>
      <w:r w:rsidRPr="006A46D0">
        <w:rPr>
          <w:rFonts w:asciiTheme="majorHAnsi" w:eastAsia="Arial" w:hAnsiTheme="majorHAnsi" w:cstheme="majorHAnsi"/>
          <w:sz w:val="24"/>
          <w:szCs w:val="24"/>
        </w:rPr>
        <w:t xml:space="preserve">Pe baza nevoilor stabilite, se vor finanța proiecte care vor viza </w:t>
      </w:r>
      <w:r w:rsidRPr="006A46D0">
        <w:rPr>
          <w:rFonts w:asciiTheme="majorHAnsi" w:eastAsia="Arial Narrow" w:hAnsiTheme="majorHAnsi" w:cstheme="majorHAnsi"/>
          <w:b/>
          <w:sz w:val="24"/>
          <w:szCs w:val="24"/>
        </w:rPr>
        <w:t>următoarele acțiuni</w:t>
      </w:r>
      <w:r w:rsidRPr="006A46D0">
        <w:rPr>
          <w:rFonts w:asciiTheme="majorHAnsi" w:eastAsia="Arial Narrow" w:hAnsiTheme="majorHAnsi" w:cstheme="majorHAnsi"/>
          <w:sz w:val="24"/>
          <w:szCs w:val="24"/>
        </w:rPr>
        <w:t>:</w:t>
      </w:r>
    </w:p>
    <w:p w14:paraId="6459C8DD" w14:textId="4FF19428" w:rsidR="00612B49" w:rsidRPr="00320586" w:rsidRDefault="006A46D0" w:rsidP="00320586">
      <w:pPr>
        <w:pStyle w:val="ListParagraph"/>
        <w:numPr>
          <w:ilvl w:val="0"/>
          <w:numId w:val="3"/>
        </w:numPr>
        <w:spacing w:after="120" w:line="240" w:lineRule="auto"/>
        <w:ind w:right="-1"/>
        <w:jc w:val="both"/>
        <w:rPr>
          <w:rFonts w:asciiTheme="majorHAnsi" w:eastAsia="Arial Narrow" w:hAnsiTheme="majorHAnsi" w:cstheme="majorHAnsi"/>
          <w:sz w:val="24"/>
          <w:szCs w:val="24"/>
        </w:rPr>
      </w:pPr>
      <w:r w:rsidRPr="00320586">
        <w:rPr>
          <w:rFonts w:asciiTheme="majorHAnsi" w:eastAsia="Arial Narrow" w:hAnsiTheme="majorHAnsi" w:cstheme="majorHAnsi"/>
          <w:sz w:val="24"/>
          <w:szCs w:val="24"/>
        </w:rPr>
        <w:t>infrastructuri și clădiri necesare pentru prelucrarea cererilor de viză și pentru cooperarea consulară, inclusiv măsuri de securitate, precum și alte acțiuni care vizează îmbunătățirea calității serviciilor destinate solicitanților de viză;</w:t>
      </w:r>
    </w:p>
    <w:p w14:paraId="637BC536" w14:textId="05D901A9" w:rsidR="00612B49" w:rsidRPr="00320586" w:rsidRDefault="006A46D0" w:rsidP="00320586">
      <w:pPr>
        <w:pStyle w:val="ListParagraph"/>
        <w:numPr>
          <w:ilvl w:val="0"/>
          <w:numId w:val="3"/>
        </w:numPr>
        <w:spacing w:after="120" w:line="240" w:lineRule="auto"/>
        <w:ind w:right="-1"/>
        <w:jc w:val="both"/>
        <w:rPr>
          <w:rFonts w:asciiTheme="majorHAnsi" w:eastAsia="Arial Narrow" w:hAnsiTheme="majorHAnsi" w:cstheme="majorHAnsi"/>
          <w:sz w:val="24"/>
          <w:szCs w:val="24"/>
        </w:rPr>
      </w:pPr>
      <w:r w:rsidRPr="00320586">
        <w:rPr>
          <w:rFonts w:asciiTheme="majorHAnsi" w:eastAsia="Arial Narrow" w:hAnsiTheme="majorHAnsi" w:cstheme="majorHAnsi"/>
          <w:sz w:val="24"/>
          <w:szCs w:val="24"/>
        </w:rPr>
        <w:t>echipamente operaționale și sisteme necesare pentru prelucrarea cererilor de viză și pentru cooperarea consulară;</w:t>
      </w:r>
    </w:p>
    <w:p w14:paraId="1E499D48" w14:textId="5ED54724" w:rsidR="00612B49" w:rsidRPr="00320586" w:rsidRDefault="006A46D0" w:rsidP="00320586">
      <w:pPr>
        <w:pStyle w:val="ListParagraph"/>
        <w:numPr>
          <w:ilvl w:val="0"/>
          <w:numId w:val="3"/>
        </w:numPr>
        <w:spacing w:after="120" w:line="240" w:lineRule="auto"/>
        <w:ind w:right="-1"/>
        <w:jc w:val="both"/>
        <w:rPr>
          <w:rFonts w:asciiTheme="majorHAnsi" w:eastAsia="Arial Narrow" w:hAnsiTheme="majorHAnsi" w:cstheme="majorHAnsi"/>
          <w:sz w:val="24"/>
          <w:szCs w:val="24"/>
        </w:rPr>
      </w:pPr>
      <w:r w:rsidRPr="00320586">
        <w:rPr>
          <w:rFonts w:asciiTheme="majorHAnsi" w:eastAsia="Arial Narrow" w:hAnsiTheme="majorHAnsi" w:cstheme="majorHAnsi"/>
          <w:sz w:val="24"/>
          <w:szCs w:val="24"/>
        </w:rPr>
        <w:t>formarea personalului consular și a personalului altor entități care contribuie la politica comună în domeniul vizelor și la cooperarea consulară;</w:t>
      </w:r>
    </w:p>
    <w:p w14:paraId="0923A5E1" w14:textId="2F2653EE" w:rsidR="00612B49" w:rsidRPr="00320586" w:rsidRDefault="006A46D0" w:rsidP="00320586">
      <w:pPr>
        <w:pStyle w:val="ListParagraph"/>
        <w:numPr>
          <w:ilvl w:val="0"/>
          <w:numId w:val="3"/>
        </w:numPr>
        <w:spacing w:after="120" w:line="240" w:lineRule="auto"/>
        <w:ind w:right="-1"/>
        <w:jc w:val="both"/>
        <w:rPr>
          <w:rFonts w:asciiTheme="majorHAnsi" w:eastAsia="Arial Narrow" w:hAnsiTheme="majorHAnsi" w:cstheme="majorHAnsi"/>
          <w:sz w:val="24"/>
          <w:szCs w:val="24"/>
        </w:rPr>
      </w:pPr>
      <w:r w:rsidRPr="00320586">
        <w:rPr>
          <w:rFonts w:asciiTheme="majorHAnsi" w:eastAsia="Arial Narrow" w:hAnsiTheme="majorHAnsi" w:cstheme="majorHAnsi"/>
          <w:sz w:val="24"/>
          <w:szCs w:val="24"/>
        </w:rPr>
        <w:t>schimbul de bune practici și de experți, inclusiv detașarea de experți, precum și consolidarea capacității rețelelor europene de a evalua, promova, sprijini și dezvolta în continuare politicile și obiectivele Uniunii;</w:t>
      </w:r>
    </w:p>
    <w:p w14:paraId="379F7098" w14:textId="2E16EC65" w:rsidR="00612B49" w:rsidRPr="00320586" w:rsidRDefault="006A46D0" w:rsidP="00320586">
      <w:pPr>
        <w:pStyle w:val="ListParagraph"/>
        <w:numPr>
          <w:ilvl w:val="0"/>
          <w:numId w:val="3"/>
        </w:numPr>
        <w:spacing w:after="120" w:line="240" w:lineRule="auto"/>
        <w:ind w:right="-1"/>
        <w:jc w:val="both"/>
        <w:rPr>
          <w:rFonts w:asciiTheme="majorHAnsi" w:eastAsia="Arial Narrow" w:hAnsiTheme="majorHAnsi" w:cstheme="majorHAnsi"/>
          <w:sz w:val="24"/>
          <w:szCs w:val="24"/>
        </w:rPr>
      </w:pPr>
      <w:r w:rsidRPr="00320586">
        <w:rPr>
          <w:rFonts w:asciiTheme="majorHAnsi" w:eastAsia="Arial Narrow" w:hAnsiTheme="majorHAnsi" w:cstheme="majorHAnsi"/>
          <w:sz w:val="24"/>
          <w:szCs w:val="24"/>
        </w:rPr>
        <w:t>activități de pregătire, de monitorizare, administrative și tehnice, inclusiv activități menite să consolideze guvernanța spațiului Schengen prin dezvoltarea și punerea în aplicare a mecanismului de evaluare, astfel cum este stabilit de Regulamentul (UE) nr. 1053/2013, în vederea verificării aplicării acquis-ului Schengen, inclusiv cheltuieli de misiune ale experților Comisiei și ai statelor membre care participă la vizite la fața locului;</w:t>
      </w:r>
    </w:p>
    <w:p w14:paraId="7AAF5879" w14:textId="5CFD4835" w:rsidR="00612B49" w:rsidRPr="00320586" w:rsidRDefault="006A46D0" w:rsidP="00320586">
      <w:pPr>
        <w:pStyle w:val="ListParagraph"/>
        <w:numPr>
          <w:ilvl w:val="0"/>
          <w:numId w:val="3"/>
        </w:numPr>
        <w:spacing w:after="120" w:line="240" w:lineRule="auto"/>
        <w:ind w:right="-1"/>
        <w:jc w:val="both"/>
        <w:rPr>
          <w:rFonts w:asciiTheme="majorHAnsi" w:eastAsia="Arial Narrow" w:hAnsiTheme="majorHAnsi" w:cstheme="majorHAnsi"/>
          <w:sz w:val="24"/>
          <w:szCs w:val="24"/>
        </w:rPr>
      </w:pPr>
      <w:r w:rsidRPr="00320586">
        <w:rPr>
          <w:rFonts w:asciiTheme="majorHAnsi" w:eastAsia="Arial Narrow" w:hAnsiTheme="majorHAnsi" w:cstheme="majorHAnsi"/>
          <w:sz w:val="24"/>
          <w:szCs w:val="24"/>
        </w:rPr>
        <w:lastRenderedPageBreak/>
        <w:t>activități de sporire a gradului de sensibilizare cu privire la politicile în materie de vize în rândul părților interesate și al publicului larg, inclusiv comunicarea instituțională privind prioritățile politice ale Uniunii;</w:t>
      </w:r>
    </w:p>
    <w:p w14:paraId="33E21152" w14:textId="719870BD" w:rsidR="00612B49" w:rsidRPr="00320586" w:rsidRDefault="006A46D0" w:rsidP="00320586">
      <w:pPr>
        <w:pStyle w:val="ListParagraph"/>
        <w:numPr>
          <w:ilvl w:val="0"/>
          <w:numId w:val="3"/>
        </w:numPr>
        <w:spacing w:after="120" w:line="240" w:lineRule="auto"/>
        <w:ind w:right="-1"/>
        <w:jc w:val="both"/>
        <w:rPr>
          <w:rFonts w:asciiTheme="majorHAnsi" w:eastAsia="Arial Narrow" w:hAnsiTheme="majorHAnsi" w:cstheme="majorHAnsi"/>
          <w:sz w:val="24"/>
          <w:szCs w:val="24"/>
        </w:rPr>
      </w:pPr>
      <w:r w:rsidRPr="00320586">
        <w:rPr>
          <w:rFonts w:asciiTheme="majorHAnsi" w:eastAsia="Arial" w:hAnsiTheme="majorHAnsi" w:cstheme="majorHAnsi"/>
          <w:sz w:val="24"/>
          <w:szCs w:val="24"/>
        </w:rPr>
        <w:t>sprijinul operațional pentru punerea în aplicare a politicii comune în domeniul vizelor.</w:t>
      </w:r>
    </w:p>
    <w:p w14:paraId="02BF37E8" w14:textId="77777777" w:rsidR="00612B49" w:rsidRPr="006A46D0" w:rsidRDefault="006A46D0" w:rsidP="00320586">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 </w:t>
      </w:r>
    </w:p>
    <w:p w14:paraId="7CD06CD6" w14:textId="77777777" w:rsidR="00612B49" w:rsidRPr="006A46D0" w:rsidRDefault="006A46D0" w:rsidP="00320586">
      <w:pPr>
        <w:spacing w:after="120" w:line="240" w:lineRule="auto"/>
        <w:ind w:right="-1"/>
        <w:jc w:val="both"/>
        <w:rPr>
          <w:rFonts w:asciiTheme="majorHAnsi" w:eastAsia="Arial Narrow" w:hAnsiTheme="majorHAnsi" w:cstheme="majorHAnsi"/>
          <w:b/>
          <w:sz w:val="24"/>
          <w:szCs w:val="24"/>
        </w:rPr>
      </w:pPr>
      <w:r w:rsidRPr="006A46D0">
        <w:rPr>
          <w:rFonts w:asciiTheme="majorHAnsi" w:eastAsia="Arial" w:hAnsiTheme="majorHAnsi" w:cstheme="majorHAnsi"/>
          <w:b/>
          <w:sz w:val="24"/>
          <w:szCs w:val="24"/>
        </w:rPr>
        <w:t>SPRIJIN OPERAȚIONAL</w:t>
      </w:r>
    </w:p>
    <w:p w14:paraId="62EC385E" w14:textId="77777777" w:rsidR="00612B49" w:rsidRPr="006A46D0" w:rsidRDefault="006A46D0" w:rsidP="00320586">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Conform prevederilor HG nr. 16/2017, Ministerul Afacerilor Externe este organismul de specialitate al administrației publice centrale aflat în subordinea Guvernului, care realizează politica externă a statului român, inclusiv prin îndeplinirea sarcinilor din sfera sa de competență care revin României în calitate de stat membru al Uniunii Europene și al Organizației Tratatului Atlanticului de Nord.</w:t>
      </w:r>
    </w:p>
    <w:p w14:paraId="1B3B4AD6" w14:textId="77777777" w:rsidR="00612B49" w:rsidRPr="006A46D0" w:rsidRDefault="006A46D0" w:rsidP="00320586">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Având în vedere că obiectivul politicii Uniunii în domeniul gestionării frontierelor externe este de a dezvolta și a pune în aplicare gestionarea europeană integrată a frontierelor la nivel național și la nivelul Uniunii, principalele </w:t>
      </w:r>
      <w:r w:rsidRPr="006A46D0">
        <w:rPr>
          <w:rFonts w:asciiTheme="majorHAnsi" w:eastAsia="Arial Narrow" w:hAnsiTheme="majorHAnsi" w:cstheme="majorHAnsi"/>
          <w:b/>
          <w:sz w:val="24"/>
          <w:szCs w:val="24"/>
        </w:rPr>
        <w:t>sarcini ale MAE</w:t>
      </w:r>
      <w:r w:rsidRPr="006A46D0">
        <w:rPr>
          <w:rFonts w:asciiTheme="majorHAnsi" w:eastAsia="Arial Narrow" w:hAnsiTheme="majorHAnsi" w:cstheme="majorHAnsi"/>
          <w:sz w:val="24"/>
          <w:szCs w:val="24"/>
        </w:rPr>
        <w:t xml:space="preserve"> care urmează să fie sprijinite prin IMFV se referă la:</w:t>
      </w:r>
    </w:p>
    <w:p w14:paraId="4CB2C1AB" w14:textId="4FD0D430" w:rsidR="00612B49" w:rsidRPr="00320586" w:rsidRDefault="006A46D0" w:rsidP="00320586">
      <w:pPr>
        <w:pStyle w:val="ListParagraph"/>
        <w:numPr>
          <w:ilvl w:val="0"/>
          <w:numId w:val="3"/>
        </w:numPr>
        <w:spacing w:after="120" w:line="240" w:lineRule="auto"/>
        <w:ind w:right="-1"/>
        <w:jc w:val="both"/>
        <w:rPr>
          <w:rFonts w:asciiTheme="majorHAnsi" w:eastAsia="Arial Narrow" w:hAnsiTheme="majorHAnsi" w:cstheme="majorHAnsi"/>
          <w:sz w:val="24"/>
          <w:szCs w:val="24"/>
        </w:rPr>
      </w:pPr>
      <w:r w:rsidRPr="00320586">
        <w:rPr>
          <w:rFonts w:asciiTheme="majorHAnsi" w:eastAsia="Arial Narrow" w:hAnsiTheme="majorHAnsi" w:cstheme="majorHAnsi"/>
          <w:sz w:val="24"/>
          <w:szCs w:val="24"/>
        </w:rPr>
        <w:t>îmbunătățirea eficienței prelucrării cererilor de viză, din perspectiva identificării și a evaluării riscurilor la adresa securității,</w:t>
      </w:r>
    </w:p>
    <w:p w14:paraId="00BC935E" w14:textId="0C011BDF" w:rsidR="00612B49" w:rsidRPr="00320586" w:rsidRDefault="006A46D0" w:rsidP="00320586">
      <w:pPr>
        <w:pStyle w:val="ListParagraph"/>
        <w:numPr>
          <w:ilvl w:val="0"/>
          <w:numId w:val="3"/>
        </w:numPr>
        <w:spacing w:after="120" w:line="240" w:lineRule="auto"/>
        <w:ind w:right="-1"/>
        <w:jc w:val="both"/>
        <w:rPr>
          <w:rFonts w:asciiTheme="majorHAnsi" w:eastAsia="Arial Narrow" w:hAnsiTheme="majorHAnsi" w:cstheme="majorHAnsi"/>
          <w:sz w:val="24"/>
          <w:szCs w:val="24"/>
        </w:rPr>
      </w:pPr>
      <w:r w:rsidRPr="00320586">
        <w:rPr>
          <w:rFonts w:asciiTheme="majorHAnsi" w:eastAsia="Arial Narrow" w:hAnsiTheme="majorHAnsi" w:cstheme="majorHAnsi"/>
          <w:sz w:val="24"/>
          <w:szCs w:val="24"/>
        </w:rPr>
        <w:t xml:space="preserve">asigurarea compatibilității sistemul SNIV cu sistemul central VIS, </w:t>
      </w:r>
    </w:p>
    <w:p w14:paraId="5D6E333F" w14:textId="31FD6923" w:rsidR="00612B49" w:rsidRPr="00320586" w:rsidRDefault="006A46D0" w:rsidP="00320586">
      <w:pPr>
        <w:pStyle w:val="ListParagraph"/>
        <w:numPr>
          <w:ilvl w:val="0"/>
          <w:numId w:val="3"/>
        </w:numPr>
        <w:spacing w:after="120" w:line="240" w:lineRule="auto"/>
        <w:ind w:right="-1"/>
        <w:jc w:val="both"/>
        <w:rPr>
          <w:rFonts w:asciiTheme="majorHAnsi" w:eastAsia="Arial Narrow" w:hAnsiTheme="majorHAnsi" w:cstheme="majorHAnsi"/>
          <w:sz w:val="24"/>
          <w:szCs w:val="24"/>
        </w:rPr>
      </w:pPr>
      <w:r w:rsidRPr="00320586">
        <w:rPr>
          <w:rFonts w:asciiTheme="majorHAnsi" w:eastAsia="Arial Narrow" w:hAnsiTheme="majorHAnsi" w:cstheme="majorHAnsi"/>
          <w:sz w:val="24"/>
          <w:szCs w:val="24"/>
        </w:rPr>
        <w:t>instruirea personalului consular în domeniul vizelor,</w:t>
      </w:r>
    </w:p>
    <w:p w14:paraId="67B0D745" w14:textId="63BFF39C" w:rsidR="00612B49" w:rsidRPr="00320586" w:rsidRDefault="006A46D0" w:rsidP="00320586">
      <w:pPr>
        <w:pStyle w:val="ListParagraph"/>
        <w:numPr>
          <w:ilvl w:val="0"/>
          <w:numId w:val="3"/>
        </w:numPr>
        <w:spacing w:after="120" w:line="240" w:lineRule="auto"/>
        <w:ind w:right="-1"/>
        <w:jc w:val="both"/>
        <w:rPr>
          <w:rFonts w:asciiTheme="majorHAnsi" w:eastAsia="Arial Narrow" w:hAnsiTheme="majorHAnsi" w:cstheme="majorHAnsi"/>
          <w:sz w:val="24"/>
          <w:szCs w:val="24"/>
        </w:rPr>
      </w:pPr>
      <w:r w:rsidRPr="00320586">
        <w:rPr>
          <w:rFonts w:asciiTheme="majorHAnsi" w:eastAsia="Arial" w:hAnsiTheme="majorHAnsi" w:cstheme="majorHAnsi"/>
          <w:sz w:val="24"/>
          <w:szCs w:val="24"/>
        </w:rPr>
        <w:t>campanii de informare și conștientizare,</w:t>
      </w:r>
    </w:p>
    <w:p w14:paraId="063F6024" w14:textId="3450E926" w:rsidR="00612B49" w:rsidRPr="00320586" w:rsidRDefault="006A46D0" w:rsidP="00320586">
      <w:pPr>
        <w:pStyle w:val="ListParagraph"/>
        <w:numPr>
          <w:ilvl w:val="0"/>
          <w:numId w:val="3"/>
        </w:numPr>
        <w:spacing w:after="120" w:line="240" w:lineRule="auto"/>
        <w:ind w:right="-1"/>
        <w:jc w:val="both"/>
        <w:rPr>
          <w:rFonts w:asciiTheme="majorHAnsi" w:eastAsia="Arial Narrow" w:hAnsiTheme="majorHAnsi" w:cstheme="majorHAnsi"/>
          <w:sz w:val="24"/>
          <w:szCs w:val="24"/>
        </w:rPr>
      </w:pPr>
      <w:r w:rsidRPr="00320586">
        <w:rPr>
          <w:rFonts w:asciiTheme="majorHAnsi" w:eastAsia="Arial Narrow" w:hAnsiTheme="majorHAnsi" w:cstheme="majorHAnsi"/>
          <w:sz w:val="24"/>
          <w:szCs w:val="24"/>
        </w:rPr>
        <w:t>continuarea lucrărilor de reamenajare și modernizare a oficiilor consulare ale României, care să permită desfășurarea unor activități de emitere a vizelor în conformitate cu standardele, regulamentele şi practicile uniforme UE,</w:t>
      </w:r>
    </w:p>
    <w:p w14:paraId="4857F209" w14:textId="1F63FDDF" w:rsidR="00612B49" w:rsidRPr="00320586" w:rsidRDefault="006A46D0" w:rsidP="00320586">
      <w:pPr>
        <w:pStyle w:val="ListParagraph"/>
        <w:numPr>
          <w:ilvl w:val="0"/>
          <w:numId w:val="3"/>
        </w:numPr>
        <w:spacing w:after="120" w:line="240" w:lineRule="auto"/>
        <w:ind w:right="-1"/>
        <w:jc w:val="both"/>
        <w:rPr>
          <w:rFonts w:asciiTheme="majorHAnsi" w:eastAsia="Arial Narrow" w:hAnsiTheme="majorHAnsi" w:cstheme="majorHAnsi"/>
          <w:sz w:val="24"/>
          <w:szCs w:val="24"/>
        </w:rPr>
      </w:pPr>
      <w:r w:rsidRPr="00320586">
        <w:rPr>
          <w:rFonts w:asciiTheme="majorHAnsi" w:eastAsia="Arial Narrow" w:hAnsiTheme="majorHAnsi" w:cstheme="majorHAnsi"/>
          <w:sz w:val="24"/>
          <w:szCs w:val="24"/>
        </w:rPr>
        <w:t>digitalizarea prelucrării cererilor de viză, cu scopul de a asigura proceduri de acordare a vizelor rapide, sigure și adaptate clienților, atât în beneficiul solicitanților de viză, cât și al consulatelor</w:t>
      </w:r>
    </w:p>
    <w:p w14:paraId="70ED1C82" w14:textId="77777777" w:rsidR="00612B49" w:rsidRPr="006A46D0" w:rsidRDefault="006A46D0" w:rsidP="00320586">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 </w:t>
      </w:r>
    </w:p>
    <w:p w14:paraId="536B8DE1" w14:textId="77777777" w:rsidR="00612B49" w:rsidRPr="006A46D0" w:rsidRDefault="006A46D0" w:rsidP="00320586">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Având în vedere că sistemul C-VIS se dezvoltă și se modernizează permanent conform necesităților statelor membre, se impune alinierea permanentă a  sistemului la evoluțiile C-VIS.</w:t>
      </w:r>
    </w:p>
    <w:p w14:paraId="602EC4E2" w14:textId="77777777" w:rsidR="00612B49" w:rsidRPr="006A46D0" w:rsidRDefault="006A46D0" w:rsidP="00320586">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Încă de la momentul implementării, SNIV a fost permanent </w:t>
      </w:r>
      <w:proofErr w:type="spellStart"/>
      <w:r w:rsidRPr="006A46D0">
        <w:rPr>
          <w:rFonts w:asciiTheme="majorHAnsi" w:eastAsia="Arial Narrow" w:hAnsiTheme="majorHAnsi" w:cstheme="majorHAnsi"/>
          <w:sz w:val="24"/>
          <w:szCs w:val="24"/>
        </w:rPr>
        <w:t>mentenat</w:t>
      </w:r>
      <w:proofErr w:type="spellEnd"/>
      <w:r w:rsidRPr="006A46D0">
        <w:rPr>
          <w:rFonts w:asciiTheme="majorHAnsi" w:eastAsia="Arial Narrow" w:hAnsiTheme="majorHAnsi" w:cstheme="majorHAnsi"/>
          <w:sz w:val="24"/>
          <w:szCs w:val="24"/>
        </w:rPr>
        <w:t xml:space="preserve"> pentru a funcționa corespunzător și a veni în întâmpinarea nevoilor pentru care a fost creat. Permanent au fost luate măsuri de mentenanță evolutivă asupra sistemului, atunci când situația a impus acest mod de acțiune. Astfel, pe măsură ce modificări legislative sau cerințe/dezvoltări ale sistemului central au intrat în vigoare, SNIV a fost modificat, completat </w:t>
      </w:r>
      <w:r w:rsidRPr="006A46D0">
        <w:rPr>
          <w:rFonts w:asciiTheme="majorHAnsi" w:eastAsia="Arial" w:hAnsiTheme="majorHAnsi" w:cstheme="majorHAnsi"/>
          <w:sz w:val="24"/>
          <w:szCs w:val="24"/>
        </w:rPr>
        <w:t>și</w:t>
      </w:r>
      <w:r w:rsidRPr="006A46D0">
        <w:rPr>
          <w:rFonts w:asciiTheme="majorHAnsi" w:eastAsia="Arial Narrow" w:hAnsiTheme="majorHAnsi" w:cstheme="majorHAnsi"/>
          <w:sz w:val="24"/>
          <w:szCs w:val="24"/>
        </w:rPr>
        <w:t xml:space="preserve"> adăugit corespunzător, astfel încât să răspundă tuturor cerințelor de compatibilitate cu sistemul central VIS, precum și cu sistemele naționale ale statelor membre. Păstrând aceeași logică, RO își propune să asigure prin intermediul alocărilor PN IMFV mentenanță preventivă, corectivă și evolutivă a sistemului, astfel încât acesta să răspundă tuturor cerințelor viitoare de compatibilitate și funcționare.</w:t>
      </w:r>
    </w:p>
    <w:p w14:paraId="7D43EB43" w14:textId="77777777" w:rsidR="00612B49" w:rsidRPr="006A46D0" w:rsidRDefault="006A46D0" w:rsidP="00320586">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 </w:t>
      </w:r>
    </w:p>
    <w:p w14:paraId="31A56F63" w14:textId="77777777" w:rsidR="00612B49" w:rsidRPr="006A46D0" w:rsidRDefault="006A46D0" w:rsidP="00320586">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Printre condițiile necesare exercitării atribuțiilor ce revin MAE se află dezvoltarea permanentă a capacității operaționale în domeniul emiterii de vize, inclusiv prin asigurarea unor spații de lucru adecvate, prin implementarea unor proiecte de modernizare și reamenajare a sediilor oficiilor consulare.</w:t>
      </w:r>
    </w:p>
    <w:p w14:paraId="32AF0128" w14:textId="77777777" w:rsidR="00612B49" w:rsidRPr="006A46D0" w:rsidRDefault="006A46D0" w:rsidP="00320586">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 </w:t>
      </w:r>
    </w:p>
    <w:p w14:paraId="7ECC2D59" w14:textId="77777777" w:rsidR="00612B49" w:rsidRPr="006A46D0" w:rsidRDefault="006A46D0" w:rsidP="00320586">
      <w:pPr>
        <w:spacing w:after="120" w:line="240" w:lineRule="auto"/>
        <w:ind w:right="-1"/>
        <w:jc w:val="both"/>
        <w:rPr>
          <w:rFonts w:asciiTheme="majorHAnsi" w:eastAsia="Arial Narrow" w:hAnsiTheme="majorHAnsi" w:cstheme="majorHAnsi"/>
          <w:sz w:val="24"/>
          <w:szCs w:val="24"/>
        </w:rPr>
      </w:pPr>
      <w:r w:rsidRPr="006A46D0">
        <w:rPr>
          <w:rFonts w:asciiTheme="majorHAnsi" w:eastAsia="Arial" w:hAnsiTheme="majorHAnsi" w:cstheme="majorHAnsi"/>
          <w:b/>
          <w:sz w:val="24"/>
          <w:szCs w:val="24"/>
        </w:rPr>
        <w:t>Acțiunile propuse</w:t>
      </w:r>
      <w:r w:rsidRPr="006A46D0">
        <w:rPr>
          <w:rFonts w:asciiTheme="majorHAnsi" w:eastAsia="Arial Narrow" w:hAnsiTheme="majorHAnsi" w:cstheme="majorHAnsi"/>
          <w:sz w:val="24"/>
          <w:szCs w:val="24"/>
        </w:rPr>
        <w:t xml:space="preserve"> de către RO pentru sprijin operațional se încadrează în Anexa VII a (propunerii) Regulamentului de instituire a IMFV, astfel:</w:t>
      </w:r>
    </w:p>
    <w:p w14:paraId="79F4BD05" w14:textId="77777777" w:rsidR="00612B49" w:rsidRPr="006A46D0" w:rsidRDefault="006A46D0" w:rsidP="00320586">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t xml:space="preserve">-     </w:t>
      </w:r>
      <w:r w:rsidRPr="006A46D0">
        <w:rPr>
          <w:rFonts w:asciiTheme="majorHAnsi" w:eastAsia="Arial Narrow" w:hAnsiTheme="majorHAnsi" w:cstheme="majorHAnsi"/>
          <w:sz w:val="24"/>
          <w:szCs w:val="24"/>
        </w:rPr>
        <w:tab/>
        <w:t>întreținerea sau repararea echipamentelor și a infrastructurii, inclusiv a clădirilor și a drumurilor de acces;</w:t>
      </w:r>
    </w:p>
    <w:p w14:paraId="3D04553D" w14:textId="76395511" w:rsidR="00612B49" w:rsidRDefault="006A46D0" w:rsidP="00320586">
      <w:pPr>
        <w:spacing w:after="120" w:line="240" w:lineRule="auto"/>
        <w:ind w:right="-1"/>
        <w:jc w:val="both"/>
        <w:rPr>
          <w:rFonts w:asciiTheme="majorHAnsi" w:eastAsia="Arial Narrow" w:hAnsiTheme="majorHAnsi" w:cstheme="majorHAnsi"/>
          <w:sz w:val="24"/>
          <w:szCs w:val="24"/>
        </w:rPr>
      </w:pPr>
      <w:r w:rsidRPr="006A46D0">
        <w:rPr>
          <w:rFonts w:asciiTheme="majorHAnsi" w:eastAsia="Arial Narrow" w:hAnsiTheme="majorHAnsi" w:cstheme="majorHAnsi"/>
          <w:sz w:val="24"/>
          <w:szCs w:val="24"/>
        </w:rPr>
        <w:lastRenderedPageBreak/>
        <w:t xml:space="preserve">-     </w:t>
      </w:r>
      <w:r w:rsidRPr="006A46D0">
        <w:rPr>
          <w:rFonts w:asciiTheme="majorHAnsi" w:eastAsia="Arial Narrow" w:hAnsiTheme="majorHAnsi" w:cstheme="majorHAnsi"/>
          <w:sz w:val="24"/>
          <w:szCs w:val="24"/>
        </w:rPr>
        <w:tab/>
        <w:t>gestionarea operațională și întreținerea sistemelor informatice la scară largă și a infrastructurilor lor de comunicații, inclusiv interoperabilitatea acestor sisteme și închirierea de incinte securizate.</w:t>
      </w:r>
    </w:p>
    <w:p w14:paraId="34375DE3" w14:textId="77777777" w:rsidR="00EA37BF" w:rsidRPr="004C0798" w:rsidRDefault="00EA37BF" w:rsidP="00EA37BF">
      <w:pPr>
        <w:pStyle w:val="Heading3"/>
        <w:spacing w:after="120" w:line="240" w:lineRule="auto"/>
        <w:ind w:left="0" w:firstLine="0"/>
        <w:rPr>
          <w:rFonts w:asciiTheme="majorHAnsi" w:hAnsiTheme="majorHAnsi" w:cstheme="majorHAnsi"/>
          <w:b w:val="0"/>
          <w:bCs/>
          <w:i/>
          <w:iCs/>
        </w:rPr>
      </w:pPr>
      <w:bookmarkStart w:id="8" w:name="_Hlk54804434"/>
      <w:r w:rsidRPr="004C0798">
        <w:rPr>
          <w:rFonts w:asciiTheme="majorHAnsi" w:hAnsiTheme="majorHAnsi" w:cstheme="majorHAnsi"/>
          <w:b w:val="0"/>
          <w:bCs/>
          <w:i/>
          <w:iCs/>
          <w:highlight w:val="lightGray"/>
        </w:rPr>
        <w:t>URMĂTOARELE SECȚIUNI VOR FI COMPLETATE ULTERIOR.</w:t>
      </w:r>
    </w:p>
    <w:bookmarkEnd w:id="8"/>
    <w:p w14:paraId="4B19AD5F" w14:textId="77777777" w:rsidR="00EA37BF" w:rsidRPr="004C0798" w:rsidRDefault="00EA37BF" w:rsidP="00EA37BF">
      <w:pPr>
        <w:spacing w:after="120" w:line="240" w:lineRule="auto"/>
        <w:rPr>
          <w:rFonts w:asciiTheme="majorHAnsi" w:hAnsiTheme="majorHAnsi" w:cstheme="majorHAnsi"/>
          <w:b/>
        </w:rPr>
      </w:pPr>
    </w:p>
    <w:p w14:paraId="331D0289" w14:textId="77777777" w:rsidR="00EA37BF" w:rsidRPr="004C0798" w:rsidRDefault="00EA37BF" w:rsidP="00EA37BF">
      <w:pPr>
        <w:spacing w:after="120" w:line="240" w:lineRule="auto"/>
        <w:rPr>
          <w:rFonts w:asciiTheme="majorHAnsi" w:hAnsiTheme="majorHAnsi" w:cstheme="majorHAnsi"/>
          <w:b/>
          <w:color w:val="808080" w:themeColor="background1" w:themeShade="80"/>
          <w:sz w:val="20"/>
          <w:szCs w:val="20"/>
        </w:rPr>
      </w:pPr>
    </w:p>
    <w:p w14:paraId="7AF70042" w14:textId="77777777" w:rsidR="00EA37BF" w:rsidRPr="004C0798" w:rsidRDefault="00EA37BF" w:rsidP="00EA37BF">
      <w:pPr>
        <w:spacing w:after="120" w:line="240" w:lineRule="auto"/>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 xml:space="preserve">2.1.2 </w:t>
      </w:r>
      <w:proofErr w:type="spellStart"/>
      <w:r w:rsidRPr="004C0798">
        <w:rPr>
          <w:rFonts w:asciiTheme="majorHAnsi" w:hAnsiTheme="majorHAnsi" w:cstheme="majorHAnsi"/>
          <w:b/>
          <w:color w:val="808080" w:themeColor="background1" w:themeShade="80"/>
          <w:sz w:val="20"/>
          <w:szCs w:val="20"/>
        </w:rPr>
        <w:t>Indicators</w:t>
      </w:r>
      <w:proofErr w:type="spellEnd"/>
      <w:r w:rsidRPr="004C0798">
        <w:rPr>
          <w:rFonts w:asciiTheme="majorHAnsi" w:hAnsiTheme="majorHAnsi" w:cstheme="majorHAnsi"/>
          <w:b/>
          <w:color w:val="808080" w:themeColor="background1" w:themeShade="80"/>
          <w:sz w:val="20"/>
          <w:szCs w:val="20"/>
        </w:rPr>
        <w:t xml:space="preserve"> </w:t>
      </w:r>
    </w:p>
    <w:p w14:paraId="70D1D08C" w14:textId="77777777" w:rsidR="00EA37BF" w:rsidRPr="004C0798" w:rsidRDefault="00EA37BF" w:rsidP="00EA37BF">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Reference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17(4)(e) CPR</w:t>
      </w: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733"/>
        <w:gridCol w:w="1467"/>
        <w:gridCol w:w="1615"/>
        <w:gridCol w:w="1468"/>
        <w:gridCol w:w="2352"/>
      </w:tblGrid>
      <w:tr w:rsidR="00EA37BF" w:rsidRPr="004C0798" w14:paraId="285B2B96" w14:textId="77777777" w:rsidTr="00861438">
        <w:trPr>
          <w:trHeight w:val="425"/>
        </w:trPr>
        <w:tc>
          <w:tcPr>
            <w:tcW w:w="9075" w:type="dxa"/>
            <w:gridSpan w:val="6"/>
          </w:tcPr>
          <w:p w14:paraId="3C3A6C57"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 xml:space="preserve">Table 1: Output </w:t>
            </w:r>
            <w:proofErr w:type="spellStart"/>
            <w:r w:rsidRPr="004C0798">
              <w:rPr>
                <w:rFonts w:asciiTheme="majorHAnsi" w:hAnsiTheme="majorHAnsi" w:cstheme="majorHAnsi"/>
                <w:b/>
                <w:color w:val="808080" w:themeColor="background1" w:themeShade="80"/>
                <w:sz w:val="20"/>
                <w:szCs w:val="20"/>
              </w:rPr>
              <w:t>indicators</w:t>
            </w:r>
            <w:proofErr w:type="spellEnd"/>
          </w:p>
        </w:tc>
      </w:tr>
      <w:tr w:rsidR="00EA37BF" w:rsidRPr="004C0798" w14:paraId="43095D4D" w14:textId="77777777" w:rsidTr="00861438">
        <w:trPr>
          <w:trHeight w:val="656"/>
        </w:trPr>
        <w:tc>
          <w:tcPr>
            <w:tcW w:w="1440" w:type="dxa"/>
          </w:tcPr>
          <w:p w14:paraId="4CA3D522"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 xml:space="preserve">Specific </w:t>
            </w:r>
            <w:proofErr w:type="spellStart"/>
            <w:r w:rsidRPr="004C0798">
              <w:rPr>
                <w:rFonts w:asciiTheme="majorHAnsi" w:hAnsiTheme="majorHAnsi" w:cstheme="majorHAnsi"/>
                <w:b/>
                <w:color w:val="808080" w:themeColor="background1" w:themeShade="80"/>
                <w:sz w:val="20"/>
                <w:szCs w:val="20"/>
              </w:rPr>
              <w:t>objective</w:t>
            </w:r>
            <w:proofErr w:type="spellEnd"/>
          </w:p>
        </w:tc>
        <w:tc>
          <w:tcPr>
            <w:tcW w:w="733" w:type="dxa"/>
          </w:tcPr>
          <w:p w14:paraId="443469AB"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ID [5]</w:t>
            </w:r>
          </w:p>
        </w:tc>
        <w:tc>
          <w:tcPr>
            <w:tcW w:w="1467" w:type="dxa"/>
            <w:shd w:val="clear" w:color="auto" w:fill="auto"/>
          </w:tcPr>
          <w:p w14:paraId="29C6A9AD"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 xml:space="preserve">Indicator [255] </w:t>
            </w:r>
          </w:p>
        </w:tc>
        <w:tc>
          <w:tcPr>
            <w:tcW w:w="1615" w:type="dxa"/>
          </w:tcPr>
          <w:p w14:paraId="4568228C"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Measurement</w:t>
            </w:r>
            <w:proofErr w:type="spellEnd"/>
            <w:r w:rsidRPr="004C0798">
              <w:rPr>
                <w:rFonts w:asciiTheme="majorHAnsi" w:hAnsiTheme="majorHAnsi" w:cstheme="majorHAnsi"/>
                <w:b/>
                <w:color w:val="808080" w:themeColor="background1" w:themeShade="80"/>
                <w:sz w:val="20"/>
                <w:szCs w:val="20"/>
              </w:rPr>
              <w:t xml:space="preserve"> unit</w:t>
            </w:r>
          </w:p>
        </w:tc>
        <w:tc>
          <w:tcPr>
            <w:tcW w:w="1468" w:type="dxa"/>
            <w:shd w:val="clear" w:color="auto" w:fill="auto"/>
          </w:tcPr>
          <w:p w14:paraId="47022063"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Milestone</w:t>
            </w:r>
            <w:proofErr w:type="spellEnd"/>
            <w:r w:rsidRPr="004C0798">
              <w:rPr>
                <w:rFonts w:asciiTheme="majorHAnsi" w:hAnsiTheme="majorHAnsi" w:cstheme="majorHAnsi"/>
                <w:b/>
                <w:color w:val="808080" w:themeColor="background1" w:themeShade="80"/>
                <w:sz w:val="20"/>
                <w:szCs w:val="20"/>
              </w:rPr>
              <w:t xml:space="preserve"> (2024)</w:t>
            </w:r>
          </w:p>
        </w:tc>
        <w:tc>
          <w:tcPr>
            <w:tcW w:w="2352" w:type="dxa"/>
            <w:shd w:val="clear" w:color="auto" w:fill="auto"/>
          </w:tcPr>
          <w:p w14:paraId="37A15367"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Target (2029)</w:t>
            </w:r>
          </w:p>
        </w:tc>
      </w:tr>
      <w:tr w:rsidR="00EA37BF" w:rsidRPr="004C0798" w14:paraId="4B2EEB38" w14:textId="77777777" w:rsidTr="00861438">
        <w:trPr>
          <w:trHeight w:val="300"/>
        </w:trPr>
        <w:tc>
          <w:tcPr>
            <w:tcW w:w="1440" w:type="dxa"/>
          </w:tcPr>
          <w:p w14:paraId="594D265E"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b/>
                <w:i/>
                <w:color w:val="808080" w:themeColor="background1" w:themeShade="80"/>
                <w:sz w:val="20"/>
                <w:szCs w:val="20"/>
              </w:rPr>
            </w:pPr>
          </w:p>
        </w:tc>
        <w:tc>
          <w:tcPr>
            <w:tcW w:w="733" w:type="dxa"/>
          </w:tcPr>
          <w:p w14:paraId="7FC5C45A"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b/>
                <w:i/>
                <w:color w:val="808080" w:themeColor="background1" w:themeShade="80"/>
                <w:sz w:val="20"/>
                <w:szCs w:val="20"/>
              </w:rPr>
            </w:pPr>
          </w:p>
        </w:tc>
        <w:tc>
          <w:tcPr>
            <w:tcW w:w="1467" w:type="dxa"/>
            <w:shd w:val="clear" w:color="auto" w:fill="auto"/>
          </w:tcPr>
          <w:p w14:paraId="610AB996"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b/>
                <w:i/>
                <w:color w:val="808080" w:themeColor="background1" w:themeShade="80"/>
                <w:sz w:val="20"/>
                <w:szCs w:val="20"/>
              </w:rPr>
            </w:pPr>
          </w:p>
        </w:tc>
        <w:tc>
          <w:tcPr>
            <w:tcW w:w="1615" w:type="dxa"/>
          </w:tcPr>
          <w:p w14:paraId="737EAA4C"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b/>
                <w:i/>
                <w:color w:val="808080" w:themeColor="background1" w:themeShade="80"/>
                <w:sz w:val="20"/>
                <w:szCs w:val="20"/>
              </w:rPr>
            </w:pPr>
          </w:p>
        </w:tc>
        <w:tc>
          <w:tcPr>
            <w:tcW w:w="1468" w:type="dxa"/>
            <w:shd w:val="clear" w:color="auto" w:fill="auto"/>
          </w:tcPr>
          <w:p w14:paraId="5D581AA5"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b/>
                <w:i/>
                <w:color w:val="808080" w:themeColor="background1" w:themeShade="80"/>
                <w:sz w:val="20"/>
                <w:szCs w:val="20"/>
              </w:rPr>
            </w:pPr>
          </w:p>
        </w:tc>
        <w:tc>
          <w:tcPr>
            <w:tcW w:w="2352" w:type="dxa"/>
            <w:shd w:val="clear" w:color="auto" w:fill="auto"/>
          </w:tcPr>
          <w:p w14:paraId="180321A8"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b/>
                <w:i/>
                <w:color w:val="808080" w:themeColor="background1" w:themeShade="80"/>
                <w:sz w:val="20"/>
                <w:szCs w:val="20"/>
              </w:rPr>
            </w:pPr>
          </w:p>
        </w:tc>
      </w:tr>
    </w:tbl>
    <w:p w14:paraId="62029E3B" w14:textId="77777777" w:rsidR="00EA37BF" w:rsidRPr="004C0798" w:rsidRDefault="00EA37BF" w:rsidP="00EA37BF">
      <w:pPr>
        <w:spacing w:after="120" w:line="240" w:lineRule="auto"/>
        <w:rPr>
          <w:rFonts w:asciiTheme="majorHAnsi" w:hAnsiTheme="majorHAnsi" w:cstheme="majorHAnsi"/>
          <w:b/>
          <w:color w:val="808080" w:themeColor="background1" w:themeShade="80"/>
          <w:sz w:val="20"/>
          <w:szCs w:val="20"/>
        </w:rPr>
      </w:pP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
        <w:gridCol w:w="554"/>
        <w:gridCol w:w="971"/>
        <w:gridCol w:w="1176"/>
        <w:gridCol w:w="900"/>
        <w:gridCol w:w="971"/>
        <w:gridCol w:w="692"/>
        <w:gridCol w:w="969"/>
        <w:gridCol w:w="733"/>
        <w:gridCol w:w="1172"/>
      </w:tblGrid>
      <w:tr w:rsidR="00EA37BF" w:rsidRPr="004C0798" w14:paraId="70D8743E" w14:textId="77777777" w:rsidTr="00861438">
        <w:trPr>
          <w:trHeight w:val="480"/>
        </w:trPr>
        <w:tc>
          <w:tcPr>
            <w:tcW w:w="9075" w:type="dxa"/>
            <w:gridSpan w:val="10"/>
          </w:tcPr>
          <w:p w14:paraId="197D23F0"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 xml:space="preserve">Table 2: </w:t>
            </w:r>
            <w:proofErr w:type="spellStart"/>
            <w:r w:rsidRPr="004C0798">
              <w:rPr>
                <w:rFonts w:asciiTheme="majorHAnsi" w:hAnsiTheme="majorHAnsi" w:cstheme="majorHAnsi"/>
                <w:b/>
                <w:color w:val="808080" w:themeColor="background1" w:themeShade="80"/>
                <w:sz w:val="20"/>
                <w:szCs w:val="20"/>
              </w:rPr>
              <w:t>Result</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indicators</w:t>
            </w:r>
            <w:proofErr w:type="spellEnd"/>
          </w:p>
        </w:tc>
      </w:tr>
      <w:tr w:rsidR="00EA37BF" w:rsidRPr="004C0798" w14:paraId="44637620" w14:textId="77777777" w:rsidTr="00861438">
        <w:trPr>
          <w:trHeight w:val="675"/>
        </w:trPr>
        <w:tc>
          <w:tcPr>
            <w:tcW w:w="937" w:type="dxa"/>
          </w:tcPr>
          <w:p w14:paraId="3AF0685C"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 xml:space="preserve">Specific </w:t>
            </w:r>
            <w:proofErr w:type="spellStart"/>
            <w:r w:rsidRPr="004C0798">
              <w:rPr>
                <w:rFonts w:asciiTheme="majorHAnsi" w:hAnsiTheme="majorHAnsi" w:cstheme="majorHAnsi"/>
                <w:b/>
                <w:color w:val="808080" w:themeColor="background1" w:themeShade="80"/>
                <w:sz w:val="20"/>
                <w:szCs w:val="20"/>
              </w:rPr>
              <w:t>objective</w:t>
            </w:r>
            <w:proofErr w:type="spellEnd"/>
          </w:p>
        </w:tc>
        <w:tc>
          <w:tcPr>
            <w:tcW w:w="554" w:type="dxa"/>
          </w:tcPr>
          <w:p w14:paraId="33E05263"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ID [5]</w:t>
            </w:r>
          </w:p>
        </w:tc>
        <w:tc>
          <w:tcPr>
            <w:tcW w:w="971" w:type="dxa"/>
            <w:shd w:val="clear" w:color="auto" w:fill="auto"/>
          </w:tcPr>
          <w:p w14:paraId="3FC565F3"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Indicator [255]</w:t>
            </w:r>
          </w:p>
        </w:tc>
        <w:tc>
          <w:tcPr>
            <w:tcW w:w="1176" w:type="dxa"/>
          </w:tcPr>
          <w:p w14:paraId="12E4E7C8"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Measurement</w:t>
            </w:r>
            <w:proofErr w:type="spellEnd"/>
            <w:r w:rsidRPr="004C0798">
              <w:rPr>
                <w:rFonts w:asciiTheme="majorHAnsi" w:hAnsiTheme="majorHAnsi" w:cstheme="majorHAnsi"/>
                <w:b/>
                <w:color w:val="808080" w:themeColor="background1" w:themeShade="80"/>
                <w:sz w:val="20"/>
                <w:szCs w:val="20"/>
              </w:rPr>
              <w:t xml:space="preserve"> unit</w:t>
            </w:r>
          </w:p>
        </w:tc>
        <w:tc>
          <w:tcPr>
            <w:tcW w:w="900" w:type="dxa"/>
          </w:tcPr>
          <w:p w14:paraId="729CA896"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Baseline</w:t>
            </w:r>
            <w:proofErr w:type="spellEnd"/>
            <w:r w:rsidRPr="004C0798">
              <w:rPr>
                <w:rFonts w:asciiTheme="majorHAnsi" w:hAnsiTheme="majorHAnsi" w:cstheme="majorHAnsi"/>
                <w:b/>
                <w:color w:val="808080" w:themeColor="background1" w:themeShade="80"/>
                <w:sz w:val="20"/>
                <w:szCs w:val="20"/>
              </w:rPr>
              <w:t xml:space="preserve"> or </w:t>
            </w:r>
            <w:proofErr w:type="spellStart"/>
            <w:r w:rsidRPr="004C0798">
              <w:rPr>
                <w:rFonts w:asciiTheme="majorHAnsi" w:hAnsiTheme="majorHAnsi" w:cstheme="majorHAnsi"/>
                <w:b/>
                <w:color w:val="808080" w:themeColor="background1" w:themeShade="80"/>
                <w:sz w:val="20"/>
                <w:szCs w:val="20"/>
              </w:rPr>
              <w:t>reference</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value</w:t>
            </w:r>
            <w:proofErr w:type="spellEnd"/>
          </w:p>
        </w:tc>
        <w:tc>
          <w:tcPr>
            <w:tcW w:w="971" w:type="dxa"/>
          </w:tcPr>
          <w:p w14:paraId="7EFC86E3"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Reference</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year</w:t>
            </w:r>
            <w:proofErr w:type="spellEnd"/>
          </w:p>
        </w:tc>
        <w:tc>
          <w:tcPr>
            <w:tcW w:w="692" w:type="dxa"/>
            <w:shd w:val="clear" w:color="auto" w:fill="auto"/>
          </w:tcPr>
          <w:p w14:paraId="38CFB12B"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Target (2029)</w:t>
            </w:r>
          </w:p>
        </w:tc>
        <w:tc>
          <w:tcPr>
            <w:tcW w:w="969" w:type="dxa"/>
            <w:shd w:val="clear" w:color="auto" w:fill="auto"/>
          </w:tcPr>
          <w:p w14:paraId="12CC9E75"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b/>
                <w:i/>
                <w:color w:val="808080" w:themeColor="background1" w:themeShade="80"/>
                <w:sz w:val="20"/>
                <w:szCs w:val="20"/>
              </w:rPr>
            </w:pPr>
            <w:r w:rsidRPr="004C0798">
              <w:rPr>
                <w:rFonts w:asciiTheme="majorHAnsi" w:hAnsiTheme="majorHAnsi" w:cstheme="majorHAnsi"/>
                <w:b/>
                <w:i/>
                <w:color w:val="808080" w:themeColor="background1" w:themeShade="80"/>
                <w:sz w:val="20"/>
                <w:szCs w:val="20"/>
                <w:u w:val="single"/>
              </w:rPr>
              <w:t>[</w:t>
            </w:r>
            <w:proofErr w:type="spellStart"/>
            <w:r w:rsidRPr="004C0798">
              <w:rPr>
                <w:rFonts w:asciiTheme="majorHAnsi" w:hAnsiTheme="majorHAnsi" w:cstheme="majorHAnsi"/>
                <w:b/>
                <w:i/>
                <w:color w:val="808080" w:themeColor="background1" w:themeShade="80"/>
                <w:sz w:val="20"/>
                <w:szCs w:val="20"/>
                <w:u w:val="single"/>
              </w:rPr>
              <w:t>Measurement</w:t>
            </w:r>
            <w:proofErr w:type="spellEnd"/>
            <w:r w:rsidRPr="004C0798">
              <w:rPr>
                <w:rFonts w:asciiTheme="majorHAnsi" w:hAnsiTheme="majorHAnsi" w:cstheme="majorHAnsi"/>
                <w:b/>
                <w:i/>
                <w:color w:val="808080" w:themeColor="background1" w:themeShade="80"/>
                <w:sz w:val="20"/>
                <w:szCs w:val="20"/>
                <w:u w:val="single"/>
              </w:rPr>
              <w:t xml:space="preserve"> unit for </w:t>
            </w:r>
            <w:proofErr w:type="spellStart"/>
            <w:r w:rsidRPr="004C0798">
              <w:rPr>
                <w:rFonts w:asciiTheme="majorHAnsi" w:hAnsiTheme="majorHAnsi" w:cstheme="majorHAnsi"/>
                <w:b/>
                <w:i/>
                <w:color w:val="808080" w:themeColor="background1" w:themeShade="80"/>
                <w:sz w:val="20"/>
                <w:szCs w:val="20"/>
                <w:u w:val="single"/>
              </w:rPr>
              <w:t>target</w:t>
            </w:r>
            <w:proofErr w:type="spellEnd"/>
            <w:r w:rsidRPr="004C0798">
              <w:rPr>
                <w:rFonts w:asciiTheme="majorHAnsi" w:hAnsiTheme="majorHAnsi" w:cstheme="majorHAnsi"/>
                <w:b/>
                <w:i/>
                <w:color w:val="808080" w:themeColor="background1" w:themeShade="80"/>
                <w:sz w:val="20"/>
                <w:szCs w:val="20"/>
                <w:u w:val="single"/>
              </w:rPr>
              <w:t>]</w:t>
            </w:r>
            <w:r w:rsidRPr="004C0798">
              <w:rPr>
                <w:rFonts w:asciiTheme="majorHAnsi" w:hAnsiTheme="majorHAnsi" w:cstheme="majorHAnsi"/>
                <w:b/>
                <w:i/>
                <w:color w:val="808080" w:themeColor="background1" w:themeShade="80"/>
                <w:sz w:val="20"/>
                <w:szCs w:val="20"/>
                <w:u w:val="single"/>
                <w:vertAlign w:val="superscript"/>
              </w:rPr>
              <w:footnoteReference w:id="5"/>
            </w:r>
          </w:p>
        </w:tc>
        <w:tc>
          <w:tcPr>
            <w:tcW w:w="733" w:type="dxa"/>
            <w:shd w:val="clear" w:color="auto" w:fill="auto"/>
          </w:tcPr>
          <w:p w14:paraId="4EE7AE31"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Source</w:t>
            </w:r>
            <w:proofErr w:type="spellEnd"/>
            <w:r w:rsidRPr="004C0798">
              <w:rPr>
                <w:rFonts w:asciiTheme="majorHAnsi" w:hAnsiTheme="majorHAnsi" w:cstheme="majorHAnsi"/>
                <w:b/>
                <w:color w:val="808080" w:themeColor="background1" w:themeShade="80"/>
                <w:sz w:val="20"/>
                <w:szCs w:val="20"/>
              </w:rPr>
              <w:t xml:space="preserve"> of data [200]</w:t>
            </w:r>
          </w:p>
        </w:tc>
        <w:tc>
          <w:tcPr>
            <w:tcW w:w="1172" w:type="dxa"/>
          </w:tcPr>
          <w:p w14:paraId="291276C7"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Comments</w:t>
            </w:r>
            <w:proofErr w:type="spellEnd"/>
            <w:r w:rsidRPr="004C0798">
              <w:rPr>
                <w:rFonts w:asciiTheme="majorHAnsi" w:hAnsiTheme="majorHAnsi" w:cstheme="majorHAnsi"/>
                <w:b/>
                <w:color w:val="808080" w:themeColor="background1" w:themeShade="80"/>
                <w:sz w:val="20"/>
                <w:szCs w:val="20"/>
              </w:rPr>
              <w:t xml:space="preserve"> [200]</w:t>
            </w:r>
          </w:p>
        </w:tc>
      </w:tr>
      <w:tr w:rsidR="00EA37BF" w:rsidRPr="004C0798" w14:paraId="4909A08E" w14:textId="77777777" w:rsidTr="00861438">
        <w:trPr>
          <w:trHeight w:val="398"/>
        </w:trPr>
        <w:tc>
          <w:tcPr>
            <w:tcW w:w="937" w:type="dxa"/>
          </w:tcPr>
          <w:p w14:paraId="36B78E8E"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i/>
                <w:color w:val="808080" w:themeColor="background1" w:themeShade="80"/>
                <w:sz w:val="20"/>
                <w:szCs w:val="20"/>
              </w:rPr>
            </w:pPr>
          </w:p>
        </w:tc>
        <w:tc>
          <w:tcPr>
            <w:tcW w:w="554" w:type="dxa"/>
          </w:tcPr>
          <w:p w14:paraId="3AE4AAC3"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i/>
                <w:color w:val="808080" w:themeColor="background1" w:themeShade="80"/>
                <w:sz w:val="20"/>
                <w:szCs w:val="20"/>
              </w:rPr>
            </w:pPr>
          </w:p>
        </w:tc>
        <w:tc>
          <w:tcPr>
            <w:tcW w:w="971" w:type="dxa"/>
            <w:shd w:val="clear" w:color="auto" w:fill="auto"/>
          </w:tcPr>
          <w:p w14:paraId="7177D81F"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i/>
                <w:color w:val="808080" w:themeColor="background1" w:themeShade="80"/>
                <w:sz w:val="20"/>
                <w:szCs w:val="20"/>
              </w:rPr>
            </w:pPr>
          </w:p>
        </w:tc>
        <w:tc>
          <w:tcPr>
            <w:tcW w:w="1176" w:type="dxa"/>
          </w:tcPr>
          <w:p w14:paraId="1DAB22F0"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i/>
                <w:color w:val="808080" w:themeColor="background1" w:themeShade="80"/>
                <w:sz w:val="20"/>
                <w:szCs w:val="20"/>
              </w:rPr>
            </w:pPr>
          </w:p>
        </w:tc>
        <w:tc>
          <w:tcPr>
            <w:tcW w:w="900" w:type="dxa"/>
          </w:tcPr>
          <w:p w14:paraId="49680676"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i/>
                <w:color w:val="808080" w:themeColor="background1" w:themeShade="80"/>
                <w:sz w:val="20"/>
                <w:szCs w:val="20"/>
              </w:rPr>
            </w:pPr>
          </w:p>
        </w:tc>
        <w:tc>
          <w:tcPr>
            <w:tcW w:w="971" w:type="dxa"/>
          </w:tcPr>
          <w:p w14:paraId="36CCBC54"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p>
        </w:tc>
        <w:tc>
          <w:tcPr>
            <w:tcW w:w="692" w:type="dxa"/>
            <w:shd w:val="clear" w:color="auto" w:fill="auto"/>
          </w:tcPr>
          <w:p w14:paraId="6761A5B9" w14:textId="77777777" w:rsidR="00EA37BF" w:rsidRPr="004C0798" w:rsidRDefault="00EA37BF" w:rsidP="00861438">
            <w:pPr>
              <w:pBdr>
                <w:top w:val="nil"/>
                <w:left w:val="nil"/>
                <w:bottom w:val="nil"/>
                <w:right w:val="nil"/>
                <w:between w:val="nil"/>
              </w:pBdr>
              <w:spacing w:after="120" w:line="240" w:lineRule="auto"/>
              <w:jc w:val="center"/>
              <w:rPr>
                <w:rFonts w:asciiTheme="majorHAnsi" w:hAnsiTheme="majorHAnsi" w:cstheme="majorHAnsi"/>
                <w:b/>
                <w:color w:val="808080" w:themeColor="background1" w:themeShade="80"/>
                <w:sz w:val="20"/>
                <w:szCs w:val="20"/>
              </w:rPr>
            </w:pPr>
          </w:p>
        </w:tc>
        <w:tc>
          <w:tcPr>
            <w:tcW w:w="969" w:type="dxa"/>
            <w:shd w:val="clear" w:color="auto" w:fill="auto"/>
          </w:tcPr>
          <w:p w14:paraId="281FA7CA" w14:textId="77777777" w:rsidR="00EA37BF" w:rsidRPr="004C0798" w:rsidRDefault="00EA37BF" w:rsidP="00861438">
            <w:pPr>
              <w:pBdr>
                <w:top w:val="nil"/>
                <w:left w:val="nil"/>
                <w:bottom w:val="nil"/>
                <w:right w:val="nil"/>
                <w:between w:val="nil"/>
              </w:pBdr>
              <w:spacing w:after="120" w:line="240" w:lineRule="auto"/>
              <w:jc w:val="center"/>
              <w:rPr>
                <w:rFonts w:asciiTheme="majorHAnsi" w:hAnsiTheme="majorHAnsi" w:cstheme="majorHAnsi"/>
                <w:b/>
                <w:color w:val="808080" w:themeColor="background1" w:themeShade="80"/>
                <w:sz w:val="20"/>
                <w:szCs w:val="20"/>
              </w:rPr>
            </w:pPr>
          </w:p>
        </w:tc>
        <w:tc>
          <w:tcPr>
            <w:tcW w:w="733" w:type="dxa"/>
            <w:shd w:val="clear" w:color="auto" w:fill="auto"/>
          </w:tcPr>
          <w:p w14:paraId="6174B457"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i/>
                <w:color w:val="808080" w:themeColor="background1" w:themeShade="80"/>
                <w:sz w:val="20"/>
                <w:szCs w:val="20"/>
              </w:rPr>
            </w:pPr>
          </w:p>
        </w:tc>
        <w:tc>
          <w:tcPr>
            <w:tcW w:w="1172" w:type="dxa"/>
          </w:tcPr>
          <w:p w14:paraId="55376424"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r>
    </w:tbl>
    <w:p w14:paraId="11613B82" w14:textId="77777777" w:rsidR="00EA37BF" w:rsidRPr="004C0798" w:rsidRDefault="00EA37BF" w:rsidP="00EA37BF">
      <w:pPr>
        <w:keepNext/>
        <w:spacing w:after="120" w:line="240" w:lineRule="auto"/>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 xml:space="preserve">2.1.3 Indicative </w:t>
      </w:r>
      <w:proofErr w:type="spellStart"/>
      <w:r w:rsidRPr="004C0798">
        <w:rPr>
          <w:rFonts w:asciiTheme="majorHAnsi" w:hAnsiTheme="majorHAnsi" w:cstheme="majorHAnsi"/>
          <w:b/>
          <w:color w:val="808080" w:themeColor="background1" w:themeShade="80"/>
          <w:sz w:val="20"/>
          <w:szCs w:val="20"/>
        </w:rPr>
        <w:t>breakdown</w:t>
      </w:r>
      <w:proofErr w:type="spellEnd"/>
      <w:r w:rsidRPr="004C0798">
        <w:rPr>
          <w:rFonts w:asciiTheme="majorHAnsi" w:hAnsiTheme="majorHAnsi" w:cstheme="majorHAnsi"/>
          <w:b/>
          <w:color w:val="808080" w:themeColor="background1" w:themeShade="80"/>
          <w:sz w:val="20"/>
          <w:szCs w:val="20"/>
        </w:rPr>
        <w:t xml:space="preserve"> of the </w:t>
      </w:r>
      <w:proofErr w:type="spellStart"/>
      <w:r w:rsidRPr="004C0798">
        <w:rPr>
          <w:rFonts w:asciiTheme="majorHAnsi" w:hAnsiTheme="majorHAnsi" w:cstheme="majorHAnsi"/>
          <w:b/>
          <w:color w:val="808080" w:themeColor="background1" w:themeShade="80"/>
          <w:sz w:val="20"/>
          <w:szCs w:val="20"/>
        </w:rPr>
        <w:t>programme</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resources</w:t>
      </w:r>
      <w:proofErr w:type="spellEnd"/>
      <w:r w:rsidRPr="004C0798">
        <w:rPr>
          <w:rFonts w:asciiTheme="majorHAnsi" w:hAnsiTheme="majorHAnsi" w:cstheme="majorHAnsi"/>
          <w:b/>
          <w:color w:val="808080" w:themeColor="background1" w:themeShade="80"/>
          <w:sz w:val="20"/>
          <w:szCs w:val="20"/>
        </w:rPr>
        <w:t xml:space="preserve"> (EU) </w:t>
      </w:r>
      <w:proofErr w:type="spellStart"/>
      <w:r w:rsidRPr="004C0798">
        <w:rPr>
          <w:rFonts w:asciiTheme="majorHAnsi" w:hAnsiTheme="majorHAnsi" w:cstheme="majorHAnsi"/>
          <w:b/>
          <w:color w:val="808080" w:themeColor="background1" w:themeShade="80"/>
          <w:sz w:val="20"/>
          <w:szCs w:val="20"/>
        </w:rPr>
        <w:t>by</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type</w:t>
      </w:r>
      <w:proofErr w:type="spellEnd"/>
      <w:r w:rsidRPr="004C0798">
        <w:rPr>
          <w:rFonts w:asciiTheme="majorHAnsi" w:hAnsiTheme="majorHAnsi" w:cstheme="majorHAnsi"/>
          <w:b/>
          <w:color w:val="808080" w:themeColor="background1" w:themeShade="80"/>
          <w:sz w:val="20"/>
          <w:szCs w:val="20"/>
        </w:rPr>
        <w:t xml:space="preserve"> of </w:t>
      </w:r>
      <w:proofErr w:type="spellStart"/>
      <w:r w:rsidRPr="004C0798">
        <w:rPr>
          <w:rFonts w:asciiTheme="majorHAnsi" w:hAnsiTheme="majorHAnsi" w:cstheme="majorHAnsi"/>
          <w:b/>
          <w:color w:val="808080" w:themeColor="background1" w:themeShade="80"/>
          <w:sz w:val="20"/>
          <w:szCs w:val="20"/>
        </w:rPr>
        <w:t>intervention</w:t>
      </w:r>
      <w:proofErr w:type="spellEnd"/>
      <w:r w:rsidRPr="004C0798">
        <w:rPr>
          <w:rFonts w:asciiTheme="majorHAnsi" w:hAnsiTheme="majorHAnsi" w:cstheme="majorHAnsi"/>
          <w:b/>
          <w:color w:val="808080" w:themeColor="background1" w:themeShade="80"/>
          <w:sz w:val="20"/>
          <w:szCs w:val="20"/>
        </w:rPr>
        <w:t xml:space="preserve"> </w:t>
      </w:r>
    </w:p>
    <w:p w14:paraId="5A34AE7C" w14:textId="77777777" w:rsidR="00EA37BF" w:rsidRPr="004C0798" w:rsidRDefault="00EA37BF" w:rsidP="00EA37BF">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Reference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17(5) CPR </w:t>
      </w:r>
      <w:proofErr w:type="spellStart"/>
      <w:r w:rsidRPr="004C0798">
        <w:rPr>
          <w:rFonts w:asciiTheme="majorHAnsi" w:hAnsiTheme="majorHAnsi" w:cstheme="majorHAnsi"/>
          <w:i/>
          <w:color w:val="808080" w:themeColor="background1" w:themeShade="80"/>
          <w:sz w:val="20"/>
          <w:szCs w:val="20"/>
        </w:rPr>
        <w:t>and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12(15) of the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12(9) ISF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13(9) AMIF </w:t>
      </w:r>
      <w:proofErr w:type="spellStart"/>
      <w:r w:rsidRPr="004C0798">
        <w:rPr>
          <w:rFonts w:asciiTheme="majorHAnsi" w:hAnsiTheme="majorHAnsi" w:cstheme="majorHAnsi"/>
          <w:i/>
          <w:color w:val="808080" w:themeColor="background1" w:themeShade="80"/>
          <w:sz w:val="20"/>
          <w:szCs w:val="20"/>
        </w:rPr>
        <w:t>Regulation</w:t>
      </w:r>
      <w:proofErr w:type="spellEnd"/>
    </w:p>
    <w:tbl>
      <w:tblPr>
        <w:tblW w:w="93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3"/>
        <w:gridCol w:w="2180"/>
        <w:gridCol w:w="1134"/>
        <w:gridCol w:w="3935"/>
      </w:tblGrid>
      <w:tr w:rsidR="00EA37BF" w:rsidRPr="004C0798" w14:paraId="2C7AEAB6" w14:textId="77777777" w:rsidTr="00861438">
        <w:trPr>
          <w:trHeight w:val="315"/>
        </w:trPr>
        <w:tc>
          <w:tcPr>
            <w:tcW w:w="9322" w:type="dxa"/>
            <w:gridSpan w:val="4"/>
          </w:tcPr>
          <w:p w14:paraId="3216B718"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Table 3</w:t>
            </w:r>
          </w:p>
        </w:tc>
      </w:tr>
      <w:tr w:rsidR="00EA37BF" w:rsidRPr="004C0798" w14:paraId="5C15703E" w14:textId="77777777" w:rsidTr="00861438">
        <w:tc>
          <w:tcPr>
            <w:tcW w:w="2073" w:type="dxa"/>
          </w:tcPr>
          <w:p w14:paraId="028B1D8A"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Specific </w:t>
            </w:r>
            <w:proofErr w:type="spellStart"/>
            <w:r w:rsidRPr="004C0798">
              <w:rPr>
                <w:rFonts w:asciiTheme="majorHAnsi" w:eastAsia="Times New Roman" w:hAnsiTheme="majorHAnsi" w:cstheme="majorHAnsi"/>
                <w:b/>
                <w:color w:val="808080" w:themeColor="background1" w:themeShade="80"/>
                <w:sz w:val="20"/>
                <w:szCs w:val="20"/>
              </w:rPr>
              <w:t>objective</w:t>
            </w:r>
            <w:proofErr w:type="spellEnd"/>
            <w:r w:rsidRPr="004C0798">
              <w:rPr>
                <w:rFonts w:asciiTheme="majorHAnsi" w:eastAsia="Times New Roman" w:hAnsiTheme="majorHAnsi" w:cstheme="majorHAnsi"/>
                <w:b/>
                <w:color w:val="808080" w:themeColor="background1" w:themeShade="80"/>
                <w:sz w:val="20"/>
                <w:szCs w:val="20"/>
              </w:rPr>
              <w:t xml:space="preserve"> </w:t>
            </w:r>
          </w:p>
        </w:tc>
        <w:tc>
          <w:tcPr>
            <w:tcW w:w="2180" w:type="dxa"/>
          </w:tcPr>
          <w:p w14:paraId="2DF8ED4F"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Type</w:t>
            </w:r>
            <w:proofErr w:type="spellEnd"/>
            <w:r w:rsidRPr="004C0798">
              <w:rPr>
                <w:rFonts w:asciiTheme="majorHAnsi" w:eastAsia="Times New Roman" w:hAnsiTheme="majorHAnsi" w:cstheme="majorHAnsi"/>
                <w:b/>
                <w:color w:val="808080" w:themeColor="background1" w:themeShade="80"/>
                <w:sz w:val="20"/>
                <w:szCs w:val="20"/>
              </w:rPr>
              <w:t xml:space="preserve"> of </w:t>
            </w:r>
            <w:proofErr w:type="spellStart"/>
            <w:r w:rsidRPr="004C0798">
              <w:rPr>
                <w:rFonts w:asciiTheme="majorHAnsi" w:eastAsia="Times New Roman" w:hAnsiTheme="majorHAnsi" w:cstheme="majorHAnsi"/>
                <w:b/>
                <w:color w:val="808080" w:themeColor="background1" w:themeShade="80"/>
                <w:sz w:val="20"/>
                <w:szCs w:val="20"/>
              </w:rPr>
              <w:t>intervention</w:t>
            </w:r>
            <w:proofErr w:type="spellEnd"/>
          </w:p>
        </w:tc>
        <w:tc>
          <w:tcPr>
            <w:tcW w:w="1134" w:type="dxa"/>
          </w:tcPr>
          <w:p w14:paraId="41B4AFB1"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Code</w:t>
            </w:r>
          </w:p>
        </w:tc>
        <w:tc>
          <w:tcPr>
            <w:tcW w:w="3935" w:type="dxa"/>
          </w:tcPr>
          <w:p w14:paraId="4BC4E86D"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Indicative </w:t>
            </w:r>
            <w:proofErr w:type="spellStart"/>
            <w:r w:rsidRPr="004C0798">
              <w:rPr>
                <w:rFonts w:asciiTheme="majorHAnsi" w:eastAsia="Times New Roman" w:hAnsiTheme="majorHAnsi" w:cstheme="majorHAnsi"/>
                <w:b/>
                <w:color w:val="808080" w:themeColor="background1" w:themeShade="80"/>
                <w:sz w:val="20"/>
                <w:szCs w:val="20"/>
              </w:rPr>
              <w:t>amount</w:t>
            </w:r>
            <w:proofErr w:type="spellEnd"/>
            <w:r w:rsidRPr="004C0798">
              <w:rPr>
                <w:rFonts w:asciiTheme="majorHAnsi" w:eastAsia="Times New Roman" w:hAnsiTheme="majorHAnsi" w:cstheme="majorHAnsi"/>
                <w:b/>
                <w:color w:val="808080" w:themeColor="background1" w:themeShade="80"/>
                <w:sz w:val="20"/>
                <w:szCs w:val="20"/>
              </w:rPr>
              <w:t xml:space="preserve"> (Euro)</w:t>
            </w:r>
          </w:p>
        </w:tc>
      </w:tr>
      <w:tr w:rsidR="00EA37BF" w:rsidRPr="004C0798" w14:paraId="58B8B0AC" w14:textId="77777777" w:rsidTr="00861438">
        <w:tc>
          <w:tcPr>
            <w:tcW w:w="2073" w:type="dxa"/>
          </w:tcPr>
          <w:p w14:paraId="3D7FE1C6"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2180" w:type="dxa"/>
          </w:tcPr>
          <w:p w14:paraId="6E054E4E"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134" w:type="dxa"/>
          </w:tcPr>
          <w:p w14:paraId="5C99FD52"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3935" w:type="dxa"/>
          </w:tcPr>
          <w:p w14:paraId="1A981DB7"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bl>
    <w:p w14:paraId="405EA35B" w14:textId="77777777" w:rsidR="00EA37BF" w:rsidRPr="004C0798" w:rsidRDefault="00EA37BF" w:rsidP="00EA37BF">
      <w:pPr>
        <w:spacing w:after="120" w:line="240" w:lineRule="auto"/>
        <w:rPr>
          <w:rFonts w:asciiTheme="majorHAnsi" w:hAnsiTheme="majorHAnsi" w:cstheme="majorHAnsi"/>
          <w:color w:val="808080" w:themeColor="background1" w:themeShade="80"/>
          <w:sz w:val="20"/>
          <w:szCs w:val="20"/>
        </w:rPr>
      </w:pPr>
    </w:p>
    <w:p w14:paraId="09ADB0FB" w14:textId="77777777" w:rsidR="00EA37BF" w:rsidRPr="004C0798" w:rsidRDefault="00EA37BF" w:rsidP="00EA37BF">
      <w:pPr>
        <w:pBdr>
          <w:top w:val="nil"/>
          <w:left w:val="nil"/>
          <w:bottom w:val="nil"/>
          <w:right w:val="nil"/>
          <w:between w:val="nil"/>
        </w:pBdr>
        <w:spacing w:after="120" w:line="240" w:lineRule="auto"/>
        <w:rPr>
          <w:rFonts w:asciiTheme="majorHAnsi" w:hAnsiTheme="majorHAnsi" w:cstheme="majorHAnsi"/>
          <w:b/>
          <w:color w:val="808080" w:themeColor="background1" w:themeShade="80"/>
          <w:sz w:val="20"/>
          <w:szCs w:val="20"/>
        </w:rPr>
      </w:pPr>
      <w:r w:rsidRPr="004C0798">
        <w:rPr>
          <w:rFonts w:asciiTheme="majorHAnsi" w:hAnsiTheme="majorHAnsi" w:cstheme="majorHAnsi"/>
          <w:b/>
          <w:i/>
          <w:color w:val="808080" w:themeColor="background1" w:themeShade="80"/>
          <w:sz w:val="20"/>
          <w:szCs w:val="20"/>
        </w:rPr>
        <w:t>2.1.4</w:t>
      </w:r>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Technical</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assistance</w:t>
      </w:r>
      <w:proofErr w:type="spellEnd"/>
      <w:r w:rsidRPr="004C0798">
        <w:rPr>
          <w:rFonts w:asciiTheme="majorHAnsi" w:hAnsiTheme="majorHAnsi" w:cstheme="majorHAnsi"/>
          <w:b/>
          <w:color w:val="808080" w:themeColor="background1" w:themeShade="80"/>
          <w:sz w:val="20"/>
          <w:szCs w:val="20"/>
        </w:rPr>
        <w:t xml:space="preserve"> </w:t>
      </w:r>
    </w:p>
    <w:p w14:paraId="676B3545" w14:textId="77777777" w:rsidR="00EA37BF" w:rsidRPr="004C0798" w:rsidRDefault="00EA37BF" w:rsidP="00EA37BF">
      <w:pPr>
        <w:spacing w:after="120" w:line="240" w:lineRule="auto"/>
        <w:rPr>
          <w:rFonts w:asciiTheme="majorHAnsi" w:hAnsiTheme="majorHAnsi" w:cstheme="majorHAnsi"/>
          <w:b/>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Reference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17(3)(e);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30(5) CPR;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32 CPR;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89 CPR;</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8"/>
      </w:tblGrid>
      <w:tr w:rsidR="00EA37BF" w:rsidRPr="004C0798" w14:paraId="490F372F" w14:textId="77777777" w:rsidTr="00861438">
        <w:tc>
          <w:tcPr>
            <w:tcW w:w="9288" w:type="dxa"/>
          </w:tcPr>
          <w:p w14:paraId="16E778BA"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Text </w:t>
            </w:r>
            <w:proofErr w:type="spellStart"/>
            <w:r w:rsidRPr="004C0798">
              <w:rPr>
                <w:rFonts w:asciiTheme="majorHAnsi" w:hAnsiTheme="majorHAnsi" w:cstheme="majorHAnsi"/>
                <w:i/>
                <w:color w:val="808080" w:themeColor="background1" w:themeShade="80"/>
                <w:sz w:val="20"/>
                <w:szCs w:val="20"/>
              </w:rPr>
              <w:t>field</w:t>
            </w:r>
            <w:proofErr w:type="spellEnd"/>
            <w:r w:rsidRPr="004C0798">
              <w:rPr>
                <w:rFonts w:asciiTheme="majorHAnsi" w:hAnsiTheme="majorHAnsi" w:cstheme="majorHAnsi"/>
                <w:i/>
                <w:color w:val="808080" w:themeColor="background1" w:themeShade="80"/>
                <w:sz w:val="20"/>
                <w:szCs w:val="20"/>
              </w:rPr>
              <w:t xml:space="preserve"> [5 000] (</w:t>
            </w:r>
            <w:proofErr w:type="spellStart"/>
            <w:r w:rsidRPr="004C0798">
              <w:rPr>
                <w:rFonts w:asciiTheme="majorHAnsi" w:hAnsiTheme="majorHAnsi" w:cstheme="majorHAnsi"/>
                <w:i/>
                <w:color w:val="808080" w:themeColor="background1" w:themeShade="80"/>
                <w:sz w:val="20"/>
                <w:szCs w:val="20"/>
              </w:rPr>
              <w:t>Technical</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assistance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pursuant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30(5) CPR)</w:t>
            </w:r>
          </w:p>
        </w:tc>
      </w:tr>
      <w:tr w:rsidR="00EA37BF" w:rsidRPr="004C0798" w14:paraId="08083796" w14:textId="77777777" w:rsidTr="00861438">
        <w:tc>
          <w:tcPr>
            <w:tcW w:w="9288" w:type="dxa"/>
          </w:tcPr>
          <w:p w14:paraId="67C4E814"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Text </w:t>
            </w:r>
            <w:proofErr w:type="spellStart"/>
            <w:r w:rsidRPr="004C0798">
              <w:rPr>
                <w:rFonts w:asciiTheme="majorHAnsi" w:hAnsiTheme="majorHAnsi" w:cstheme="majorHAnsi"/>
                <w:i/>
                <w:color w:val="808080" w:themeColor="background1" w:themeShade="80"/>
                <w:sz w:val="20"/>
                <w:szCs w:val="20"/>
              </w:rPr>
              <w:t>field</w:t>
            </w:r>
            <w:proofErr w:type="spellEnd"/>
            <w:r w:rsidRPr="004C0798">
              <w:rPr>
                <w:rFonts w:asciiTheme="majorHAnsi" w:hAnsiTheme="majorHAnsi" w:cstheme="majorHAnsi"/>
                <w:i/>
                <w:color w:val="808080" w:themeColor="background1" w:themeShade="80"/>
                <w:sz w:val="20"/>
                <w:szCs w:val="20"/>
              </w:rPr>
              <w:t xml:space="preserve"> [3000] (</w:t>
            </w:r>
            <w:proofErr w:type="spellStart"/>
            <w:r w:rsidRPr="004C0798">
              <w:rPr>
                <w:rFonts w:asciiTheme="majorHAnsi" w:hAnsiTheme="majorHAnsi" w:cstheme="majorHAnsi"/>
                <w:i/>
                <w:color w:val="808080" w:themeColor="background1" w:themeShade="80"/>
                <w:sz w:val="20"/>
                <w:szCs w:val="20"/>
              </w:rPr>
              <w:t>Technical</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assistance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pursuant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32 CPR)</w:t>
            </w:r>
          </w:p>
        </w:tc>
      </w:tr>
    </w:tbl>
    <w:p w14:paraId="3E4933AF" w14:textId="77777777" w:rsidR="00EA37BF" w:rsidRPr="004C0798" w:rsidRDefault="00EA37BF" w:rsidP="00EA37BF">
      <w:pPr>
        <w:spacing w:after="120" w:line="240" w:lineRule="auto"/>
        <w:rPr>
          <w:rFonts w:asciiTheme="majorHAnsi" w:hAnsiTheme="majorHAnsi" w:cstheme="majorHAnsi"/>
          <w:b/>
          <w:color w:val="808080" w:themeColor="background1" w:themeShade="80"/>
          <w:sz w:val="20"/>
          <w:szCs w:val="20"/>
        </w:rPr>
      </w:pPr>
    </w:p>
    <w:tbl>
      <w:tblPr>
        <w:tblW w:w="93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1134"/>
        <w:gridCol w:w="3935"/>
      </w:tblGrid>
      <w:tr w:rsidR="00EA37BF" w:rsidRPr="004C0798" w14:paraId="42E1F5F5" w14:textId="77777777" w:rsidTr="00861438">
        <w:trPr>
          <w:trHeight w:val="315"/>
        </w:trPr>
        <w:tc>
          <w:tcPr>
            <w:tcW w:w="9322" w:type="dxa"/>
            <w:gridSpan w:val="3"/>
          </w:tcPr>
          <w:p w14:paraId="19509146"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Table </w:t>
            </w:r>
            <w:r w:rsidRPr="004C0798">
              <w:rPr>
                <w:rFonts w:asciiTheme="majorHAnsi" w:eastAsia="Times New Roman" w:hAnsiTheme="majorHAnsi" w:cstheme="majorHAnsi"/>
                <w:b/>
                <w:i/>
                <w:color w:val="808080" w:themeColor="background1" w:themeShade="80"/>
                <w:sz w:val="20"/>
                <w:szCs w:val="20"/>
              </w:rPr>
              <w:t>4</w:t>
            </w:r>
          </w:p>
        </w:tc>
      </w:tr>
      <w:tr w:rsidR="00EA37BF" w:rsidRPr="004C0798" w14:paraId="5BB69E5E" w14:textId="77777777" w:rsidTr="00861438">
        <w:tc>
          <w:tcPr>
            <w:tcW w:w="4253" w:type="dxa"/>
          </w:tcPr>
          <w:p w14:paraId="71A59570"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Type</w:t>
            </w:r>
            <w:proofErr w:type="spellEnd"/>
            <w:r w:rsidRPr="004C0798">
              <w:rPr>
                <w:rFonts w:asciiTheme="majorHAnsi" w:eastAsia="Times New Roman" w:hAnsiTheme="majorHAnsi" w:cstheme="majorHAnsi"/>
                <w:b/>
                <w:color w:val="808080" w:themeColor="background1" w:themeShade="80"/>
                <w:sz w:val="20"/>
                <w:szCs w:val="20"/>
              </w:rPr>
              <w:t xml:space="preserve"> of </w:t>
            </w:r>
            <w:proofErr w:type="spellStart"/>
            <w:r w:rsidRPr="004C0798">
              <w:rPr>
                <w:rFonts w:asciiTheme="majorHAnsi" w:eastAsia="Times New Roman" w:hAnsiTheme="majorHAnsi" w:cstheme="majorHAnsi"/>
                <w:b/>
                <w:color w:val="808080" w:themeColor="background1" w:themeShade="80"/>
                <w:sz w:val="20"/>
                <w:szCs w:val="20"/>
              </w:rPr>
              <w:t>intervention</w:t>
            </w:r>
            <w:proofErr w:type="spellEnd"/>
          </w:p>
        </w:tc>
        <w:tc>
          <w:tcPr>
            <w:tcW w:w="1134" w:type="dxa"/>
          </w:tcPr>
          <w:p w14:paraId="7862D6EE"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Code</w:t>
            </w:r>
          </w:p>
        </w:tc>
        <w:tc>
          <w:tcPr>
            <w:tcW w:w="3935" w:type="dxa"/>
          </w:tcPr>
          <w:p w14:paraId="02DC6260"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Indicative </w:t>
            </w:r>
            <w:proofErr w:type="spellStart"/>
            <w:r w:rsidRPr="004C0798">
              <w:rPr>
                <w:rFonts w:asciiTheme="majorHAnsi" w:eastAsia="Times New Roman" w:hAnsiTheme="majorHAnsi" w:cstheme="majorHAnsi"/>
                <w:b/>
                <w:color w:val="808080" w:themeColor="background1" w:themeShade="80"/>
                <w:sz w:val="20"/>
                <w:szCs w:val="20"/>
              </w:rPr>
              <w:t>amount</w:t>
            </w:r>
            <w:proofErr w:type="spellEnd"/>
            <w:r w:rsidRPr="004C0798">
              <w:rPr>
                <w:rFonts w:asciiTheme="majorHAnsi" w:eastAsia="Times New Roman" w:hAnsiTheme="majorHAnsi" w:cstheme="majorHAnsi"/>
                <w:b/>
                <w:color w:val="808080" w:themeColor="background1" w:themeShade="80"/>
                <w:sz w:val="20"/>
                <w:szCs w:val="20"/>
              </w:rPr>
              <w:t xml:space="preserve"> (Euro)</w:t>
            </w:r>
          </w:p>
        </w:tc>
      </w:tr>
      <w:tr w:rsidR="00EA37BF" w:rsidRPr="004C0798" w14:paraId="3155920D" w14:textId="77777777" w:rsidTr="00861438">
        <w:tc>
          <w:tcPr>
            <w:tcW w:w="4253" w:type="dxa"/>
          </w:tcPr>
          <w:p w14:paraId="07E65D69"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134" w:type="dxa"/>
          </w:tcPr>
          <w:p w14:paraId="2B9A46C9"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3935" w:type="dxa"/>
          </w:tcPr>
          <w:p w14:paraId="589A44FD"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bl>
    <w:p w14:paraId="3AD0C507" w14:textId="77777777" w:rsidR="00EA37BF" w:rsidRPr="004C0798" w:rsidRDefault="00EA37BF" w:rsidP="00EA37BF">
      <w:pPr>
        <w:spacing w:after="120" w:line="240" w:lineRule="auto"/>
        <w:rPr>
          <w:rFonts w:asciiTheme="majorHAnsi" w:hAnsiTheme="majorHAnsi" w:cstheme="majorHAnsi"/>
          <w:b/>
          <w:color w:val="808080" w:themeColor="background1" w:themeShade="80"/>
          <w:sz w:val="20"/>
          <w:szCs w:val="20"/>
        </w:rPr>
      </w:pPr>
    </w:p>
    <w:p w14:paraId="7623823E" w14:textId="77777777" w:rsidR="00EA37BF" w:rsidRPr="004C0798" w:rsidRDefault="00EA37BF" w:rsidP="00EA37BF">
      <w:pPr>
        <w:numPr>
          <w:ilvl w:val="0"/>
          <w:numId w:val="10"/>
        </w:numPr>
        <w:spacing w:after="120" w:line="240" w:lineRule="auto"/>
        <w:jc w:val="both"/>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Financial plan</w:t>
      </w:r>
    </w:p>
    <w:p w14:paraId="4B488985" w14:textId="77777777" w:rsidR="00EA37BF" w:rsidRPr="004C0798" w:rsidRDefault="00EA37BF" w:rsidP="00EA37BF">
      <w:pPr>
        <w:spacing w:after="120" w:line="240" w:lineRule="auto"/>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Reference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17(3)(f)</w:t>
      </w:r>
    </w:p>
    <w:p w14:paraId="38D09D0A" w14:textId="77777777" w:rsidR="00EA37BF" w:rsidRPr="004C0798" w:rsidRDefault="00EA37BF" w:rsidP="00EA37BF">
      <w:pPr>
        <w:spacing w:after="120" w:line="240" w:lineRule="auto"/>
        <w:ind w:left="360"/>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 xml:space="preserve">3.1. Financial </w:t>
      </w:r>
      <w:proofErr w:type="spellStart"/>
      <w:r w:rsidRPr="004C0798">
        <w:rPr>
          <w:rFonts w:asciiTheme="majorHAnsi" w:hAnsiTheme="majorHAnsi" w:cstheme="majorHAnsi"/>
          <w:b/>
          <w:color w:val="808080" w:themeColor="background1" w:themeShade="80"/>
          <w:sz w:val="20"/>
          <w:szCs w:val="20"/>
        </w:rPr>
        <w:t>appropriations</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by</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year</w:t>
      </w:r>
      <w:proofErr w:type="spellEnd"/>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
        <w:gridCol w:w="1036"/>
        <w:gridCol w:w="1036"/>
        <w:gridCol w:w="1036"/>
        <w:gridCol w:w="1035"/>
        <w:gridCol w:w="1036"/>
        <w:gridCol w:w="1036"/>
        <w:gridCol w:w="1036"/>
        <w:gridCol w:w="1603"/>
      </w:tblGrid>
      <w:tr w:rsidR="00EA37BF" w:rsidRPr="004C0798" w14:paraId="54F19A1A" w14:textId="77777777" w:rsidTr="00861438">
        <w:tc>
          <w:tcPr>
            <w:tcW w:w="9889" w:type="dxa"/>
            <w:gridSpan w:val="9"/>
          </w:tcPr>
          <w:p w14:paraId="36256DC9"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Table </w:t>
            </w:r>
            <w:r w:rsidRPr="004C0798">
              <w:rPr>
                <w:rFonts w:asciiTheme="majorHAnsi" w:eastAsia="Times New Roman" w:hAnsiTheme="majorHAnsi" w:cstheme="majorHAnsi"/>
                <w:b/>
                <w:i/>
                <w:color w:val="808080" w:themeColor="background1" w:themeShade="80"/>
                <w:sz w:val="20"/>
                <w:szCs w:val="20"/>
              </w:rPr>
              <w:t>5</w:t>
            </w:r>
            <w:r w:rsidRPr="004C0798">
              <w:rPr>
                <w:rFonts w:asciiTheme="majorHAnsi" w:eastAsia="Times New Roman" w:hAnsiTheme="majorHAnsi" w:cstheme="majorHAnsi"/>
                <w:b/>
                <w:color w:val="808080" w:themeColor="background1" w:themeShade="80"/>
                <w:sz w:val="20"/>
                <w:szCs w:val="20"/>
              </w:rPr>
              <w:t xml:space="preserve">: </w:t>
            </w:r>
            <w:r w:rsidRPr="004C0798">
              <w:rPr>
                <w:rFonts w:asciiTheme="majorHAnsi" w:eastAsia="Times New Roman" w:hAnsiTheme="majorHAnsi" w:cstheme="majorHAnsi"/>
                <w:b/>
                <w:i/>
                <w:color w:val="808080" w:themeColor="background1" w:themeShade="80"/>
                <w:sz w:val="20"/>
                <w:szCs w:val="20"/>
              </w:rPr>
              <w:t xml:space="preserve">Financial </w:t>
            </w:r>
            <w:proofErr w:type="spellStart"/>
            <w:r w:rsidRPr="004C0798">
              <w:rPr>
                <w:rFonts w:asciiTheme="majorHAnsi" w:eastAsia="Times New Roman" w:hAnsiTheme="majorHAnsi" w:cstheme="majorHAnsi"/>
                <w:b/>
                <w:i/>
                <w:color w:val="808080" w:themeColor="background1" w:themeShade="80"/>
                <w:sz w:val="20"/>
                <w:szCs w:val="20"/>
              </w:rPr>
              <w:t>appropriations</w:t>
            </w:r>
            <w:proofErr w:type="spellEnd"/>
            <w:r w:rsidRPr="004C0798">
              <w:rPr>
                <w:rFonts w:asciiTheme="majorHAnsi" w:eastAsia="Times New Roman" w:hAnsiTheme="majorHAnsi" w:cstheme="majorHAnsi"/>
                <w:b/>
                <w:i/>
                <w:color w:val="808080" w:themeColor="background1" w:themeShade="80"/>
                <w:sz w:val="20"/>
                <w:szCs w:val="20"/>
              </w:rPr>
              <w:t xml:space="preserve"> </w:t>
            </w:r>
            <w:proofErr w:type="spellStart"/>
            <w:r w:rsidRPr="004C0798">
              <w:rPr>
                <w:rFonts w:asciiTheme="majorHAnsi" w:eastAsia="Times New Roman" w:hAnsiTheme="majorHAnsi" w:cstheme="majorHAnsi"/>
                <w:b/>
                <w:i/>
                <w:color w:val="808080" w:themeColor="background1" w:themeShade="80"/>
                <w:sz w:val="20"/>
                <w:szCs w:val="20"/>
              </w:rPr>
              <w:t>by</w:t>
            </w:r>
            <w:proofErr w:type="spellEnd"/>
            <w:r w:rsidRPr="004C0798">
              <w:rPr>
                <w:rFonts w:asciiTheme="majorHAnsi" w:eastAsia="Times New Roman" w:hAnsiTheme="majorHAnsi" w:cstheme="majorHAnsi"/>
                <w:b/>
                <w:i/>
                <w:color w:val="808080" w:themeColor="background1" w:themeShade="80"/>
                <w:sz w:val="20"/>
                <w:szCs w:val="20"/>
              </w:rPr>
              <w:t xml:space="preserve"> </w:t>
            </w:r>
            <w:proofErr w:type="spellStart"/>
            <w:r w:rsidRPr="004C0798">
              <w:rPr>
                <w:rFonts w:asciiTheme="majorHAnsi" w:eastAsia="Times New Roman" w:hAnsiTheme="majorHAnsi" w:cstheme="majorHAnsi"/>
                <w:b/>
                <w:i/>
                <w:color w:val="808080" w:themeColor="background1" w:themeShade="80"/>
                <w:sz w:val="20"/>
                <w:szCs w:val="20"/>
              </w:rPr>
              <w:t>year</w:t>
            </w:r>
            <w:proofErr w:type="spellEnd"/>
          </w:p>
        </w:tc>
      </w:tr>
      <w:tr w:rsidR="00EA37BF" w:rsidRPr="004C0798" w14:paraId="37DC30BF" w14:textId="77777777" w:rsidTr="00861438">
        <w:tc>
          <w:tcPr>
            <w:tcW w:w="1035" w:type="dxa"/>
          </w:tcPr>
          <w:p w14:paraId="53B1A85E"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Fund</w:t>
            </w:r>
          </w:p>
        </w:tc>
        <w:tc>
          <w:tcPr>
            <w:tcW w:w="1036" w:type="dxa"/>
          </w:tcPr>
          <w:p w14:paraId="6194FE94"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2021</w:t>
            </w:r>
          </w:p>
        </w:tc>
        <w:tc>
          <w:tcPr>
            <w:tcW w:w="1036" w:type="dxa"/>
          </w:tcPr>
          <w:p w14:paraId="2BF76B34"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2022</w:t>
            </w:r>
          </w:p>
        </w:tc>
        <w:tc>
          <w:tcPr>
            <w:tcW w:w="1036" w:type="dxa"/>
          </w:tcPr>
          <w:p w14:paraId="4DD871E5"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2023</w:t>
            </w:r>
          </w:p>
        </w:tc>
        <w:tc>
          <w:tcPr>
            <w:tcW w:w="1035" w:type="dxa"/>
          </w:tcPr>
          <w:p w14:paraId="03964D64"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2024</w:t>
            </w:r>
          </w:p>
        </w:tc>
        <w:tc>
          <w:tcPr>
            <w:tcW w:w="1036" w:type="dxa"/>
          </w:tcPr>
          <w:p w14:paraId="382397B9"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2025</w:t>
            </w:r>
          </w:p>
        </w:tc>
        <w:tc>
          <w:tcPr>
            <w:tcW w:w="1036" w:type="dxa"/>
          </w:tcPr>
          <w:p w14:paraId="488055FE"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2026</w:t>
            </w:r>
          </w:p>
        </w:tc>
        <w:tc>
          <w:tcPr>
            <w:tcW w:w="1036" w:type="dxa"/>
          </w:tcPr>
          <w:p w14:paraId="7E6FDD8B"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2027</w:t>
            </w:r>
          </w:p>
        </w:tc>
        <w:tc>
          <w:tcPr>
            <w:tcW w:w="1603" w:type="dxa"/>
          </w:tcPr>
          <w:p w14:paraId="24930965"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Total </w:t>
            </w:r>
          </w:p>
        </w:tc>
      </w:tr>
      <w:tr w:rsidR="00EA37BF" w:rsidRPr="004C0798" w14:paraId="222119B3" w14:textId="77777777" w:rsidTr="00861438">
        <w:tc>
          <w:tcPr>
            <w:tcW w:w="1035" w:type="dxa"/>
          </w:tcPr>
          <w:p w14:paraId="1546ED0D"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36" w:type="dxa"/>
          </w:tcPr>
          <w:p w14:paraId="5D00C125"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36" w:type="dxa"/>
          </w:tcPr>
          <w:p w14:paraId="00FE95D7"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36" w:type="dxa"/>
          </w:tcPr>
          <w:p w14:paraId="41C71413"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35" w:type="dxa"/>
          </w:tcPr>
          <w:p w14:paraId="0D59F4DF"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36" w:type="dxa"/>
          </w:tcPr>
          <w:p w14:paraId="4F13D764"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36" w:type="dxa"/>
          </w:tcPr>
          <w:p w14:paraId="473B0300"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36" w:type="dxa"/>
          </w:tcPr>
          <w:p w14:paraId="3DEEF184"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603" w:type="dxa"/>
          </w:tcPr>
          <w:p w14:paraId="12B4189E"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bl>
    <w:p w14:paraId="6AE3B99F" w14:textId="77777777" w:rsidR="00EA37BF" w:rsidRPr="004C0798" w:rsidRDefault="00EA37BF" w:rsidP="00EA37BF">
      <w:pPr>
        <w:spacing w:after="120" w:line="240" w:lineRule="auto"/>
        <w:rPr>
          <w:rFonts w:asciiTheme="majorHAnsi" w:hAnsiTheme="majorHAnsi" w:cstheme="majorHAnsi"/>
          <w:color w:val="808080" w:themeColor="background1" w:themeShade="80"/>
          <w:sz w:val="20"/>
          <w:szCs w:val="20"/>
        </w:rPr>
      </w:pPr>
    </w:p>
    <w:p w14:paraId="3D55018C" w14:textId="77777777" w:rsidR="00EA37BF" w:rsidRPr="004C0798" w:rsidRDefault="00EA37BF" w:rsidP="00EA37BF">
      <w:pPr>
        <w:spacing w:after="120" w:line="240" w:lineRule="auto"/>
        <w:ind w:left="360"/>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 xml:space="preserve">3.2 Total </w:t>
      </w:r>
      <w:proofErr w:type="spellStart"/>
      <w:r w:rsidRPr="004C0798">
        <w:rPr>
          <w:rFonts w:asciiTheme="majorHAnsi" w:hAnsiTheme="majorHAnsi" w:cstheme="majorHAnsi"/>
          <w:b/>
          <w:color w:val="808080" w:themeColor="background1" w:themeShade="80"/>
          <w:sz w:val="20"/>
          <w:szCs w:val="20"/>
        </w:rPr>
        <w:t>financial</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allocations</w:t>
      </w:r>
      <w:proofErr w:type="spellEnd"/>
      <w:r w:rsidRPr="004C0798">
        <w:rPr>
          <w:rFonts w:asciiTheme="majorHAnsi" w:hAnsiTheme="majorHAnsi" w:cstheme="majorHAnsi"/>
          <w:b/>
          <w:color w:val="808080" w:themeColor="background1" w:themeShade="80"/>
          <w:sz w:val="20"/>
          <w:szCs w:val="20"/>
          <w:u w:val="single"/>
        </w:rPr>
        <w:t xml:space="preserve"> </w:t>
      </w:r>
    </w:p>
    <w:tbl>
      <w:tblPr>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
        <w:gridCol w:w="1892"/>
        <w:gridCol w:w="1121"/>
        <w:gridCol w:w="1070"/>
        <w:gridCol w:w="1088"/>
        <w:gridCol w:w="880"/>
        <w:gridCol w:w="866"/>
        <w:gridCol w:w="852"/>
        <w:gridCol w:w="937"/>
      </w:tblGrid>
      <w:tr w:rsidR="00EA37BF" w:rsidRPr="004C0798" w14:paraId="2344FEA2" w14:textId="77777777" w:rsidTr="00861438">
        <w:trPr>
          <w:trHeight w:val="471"/>
          <w:jc w:val="center"/>
        </w:trPr>
        <w:tc>
          <w:tcPr>
            <w:tcW w:w="9628" w:type="dxa"/>
            <w:gridSpan w:val="9"/>
          </w:tcPr>
          <w:p w14:paraId="01292A36"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Table </w:t>
            </w:r>
            <w:r w:rsidRPr="004C0798">
              <w:rPr>
                <w:rFonts w:asciiTheme="majorHAnsi" w:eastAsia="Times New Roman" w:hAnsiTheme="majorHAnsi" w:cstheme="majorHAnsi"/>
                <w:b/>
                <w:i/>
                <w:color w:val="808080" w:themeColor="background1" w:themeShade="80"/>
                <w:sz w:val="20"/>
                <w:szCs w:val="20"/>
              </w:rPr>
              <w:t>6:</w:t>
            </w:r>
            <w:r w:rsidRPr="004C0798">
              <w:rPr>
                <w:rFonts w:asciiTheme="majorHAnsi" w:eastAsia="Times New Roman" w:hAnsiTheme="majorHAnsi" w:cstheme="majorHAnsi"/>
                <w:b/>
                <w:color w:val="808080" w:themeColor="background1" w:themeShade="80"/>
                <w:sz w:val="20"/>
                <w:szCs w:val="20"/>
              </w:rPr>
              <w:t xml:space="preserve"> </w:t>
            </w:r>
            <w:r w:rsidRPr="004C0798">
              <w:rPr>
                <w:rFonts w:asciiTheme="majorHAnsi" w:eastAsia="Times New Roman" w:hAnsiTheme="majorHAnsi" w:cstheme="majorHAnsi"/>
                <w:b/>
                <w:i/>
                <w:color w:val="808080" w:themeColor="background1" w:themeShade="80"/>
                <w:sz w:val="20"/>
                <w:szCs w:val="20"/>
              </w:rPr>
              <w:t xml:space="preserve">Total </w:t>
            </w:r>
            <w:proofErr w:type="spellStart"/>
            <w:r w:rsidRPr="004C0798">
              <w:rPr>
                <w:rFonts w:asciiTheme="majorHAnsi" w:eastAsia="Times New Roman" w:hAnsiTheme="majorHAnsi" w:cstheme="majorHAnsi"/>
                <w:b/>
                <w:i/>
                <w:color w:val="808080" w:themeColor="background1" w:themeShade="80"/>
                <w:sz w:val="20"/>
                <w:szCs w:val="20"/>
              </w:rPr>
              <w:t>financial</w:t>
            </w:r>
            <w:proofErr w:type="spellEnd"/>
            <w:r w:rsidRPr="004C0798">
              <w:rPr>
                <w:rFonts w:asciiTheme="majorHAnsi" w:eastAsia="Times New Roman" w:hAnsiTheme="majorHAnsi" w:cstheme="majorHAnsi"/>
                <w:b/>
                <w:i/>
                <w:color w:val="808080" w:themeColor="background1" w:themeShade="80"/>
                <w:sz w:val="20"/>
                <w:szCs w:val="20"/>
              </w:rPr>
              <w:t xml:space="preserve"> </w:t>
            </w:r>
            <w:proofErr w:type="spellStart"/>
            <w:r w:rsidRPr="004C0798">
              <w:rPr>
                <w:rFonts w:asciiTheme="majorHAnsi" w:eastAsia="Times New Roman" w:hAnsiTheme="majorHAnsi" w:cstheme="majorHAnsi"/>
                <w:b/>
                <w:i/>
                <w:color w:val="808080" w:themeColor="background1" w:themeShade="80"/>
                <w:sz w:val="20"/>
                <w:szCs w:val="20"/>
              </w:rPr>
              <w:t>allocations</w:t>
            </w:r>
            <w:proofErr w:type="spellEnd"/>
            <w:r w:rsidRPr="004C0798">
              <w:rPr>
                <w:rFonts w:asciiTheme="majorHAnsi" w:eastAsia="Times New Roman" w:hAnsiTheme="majorHAnsi" w:cstheme="majorHAnsi"/>
                <w:b/>
                <w:i/>
                <w:color w:val="808080" w:themeColor="background1" w:themeShade="80"/>
                <w:sz w:val="20"/>
                <w:szCs w:val="20"/>
              </w:rPr>
              <w:t xml:space="preserve"> </w:t>
            </w:r>
            <w:proofErr w:type="spellStart"/>
            <w:r w:rsidRPr="004C0798">
              <w:rPr>
                <w:rFonts w:asciiTheme="majorHAnsi" w:eastAsia="Times New Roman" w:hAnsiTheme="majorHAnsi" w:cstheme="majorHAnsi"/>
                <w:b/>
                <w:i/>
                <w:color w:val="808080" w:themeColor="background1" w:themeShade="80"/>
                <w:sz w:val="20"/>
                <w:szCs w:val="20"/>
              </w:rPr>
              <w:t>by</w:t>
            </w:r>
            <w:proofErr w:type="spellEnd"/>
            <w:r w:rsidRPr="004C0798">
              <w:rPr>
                <w:rFonts w:asciiTheme="majorHAnsi" w:eastAsia="Times New Roman" w:hAnsiTheme="majorHAnsi" w:cstheme="majorHAnsi"/>
                <w:b/>
                <w:i/>
                <w:color w:val="808080" w:themeColor="background1" w:themeShade="80"/>
                <w:sz w:val="20"/>
                <w:szCs w:val="20"/>
              </w:rPr>
              <w:t xml:space="preserve"> fund </w:t>
            </w:r>
            <w:proofErr w:type="spellStart"/>
            <w:r w:rsidRPr="004C0798">
              <w:rPr>
                <w:rFonts w:asciiTheme="majorHAnsi" w:eastAsia="Times New Roman" w:hAnsiTheme="majorHAnsi" w:cstheme="majorHAnsi"/>
                <w:b/>
                <w:i/>
                <w:color w:val="808080" w:themeColor="background1" w:themeShade="80"/>
                <w:sz w:val="20"/>
                <w:szCs w:val="20"/>
              </w:rPr>
              <w:t>and</w:t>
            </w:r>
            <w:proofErr w:type="spellEnd"/>
            <w:r w:rsidRPr="004C0798">
              <w:rPr>
                <w:rFonts w:asciiTheme="majorHAnsi" w:eastAsia="Times New Roman" w:hAnsiTheme="majorHAnsi" w:cstheme="majorHAnsi"/>
                <w:b/>
                <w:i/>
                <w:color w:val="808080" w:themeColor="background1" w:themeShade="80"/>
                <w:sz w:val="20"/>
                <w:szCs w:val="20"/>
              </w:rPr>
              <w:t xml:space="preserve"> </w:t>
            </w:r>
            <w:proofErr w:type="spellStart"/>
            <w:r w:rsidRPr="004C0798">
              <w:rPr>
                <w:rFonts w:asciiTheme="majorHAnsi" w:eastAsia="Times New Roman" w:hAnsiTheme="majorHAnsi" w:cstheme="majorHAnsi"/>
                <w:b/>
                <w:i/>
                <w:color w:val="808080" w:themeColor="background1" w:themeShade="80"/>
                <w:sz w:val="20"/>
                <w:szCs w:val="20"/>
              </w:rPr>
              <w:t>national</w:t>
            </w:r>
            <w:proofErr w:type="spellEnd"/>
            <w:r w:rsidRPr="004C0798">
              <w:rPr>
                <w:rFonts w:asciiTheme="majorHAnsi" w:eastAsia="Times New Roman" w:hAnsiTheme="majorHAnsi" w:cstheme="majorHAnsi"/>
                <w:b/>
                <w:i/>
                <w:color w:val="808080" w:themeColor="background1" w:themeShade="80"/>
                <w:sz w:val="20"/>
                <w:szCs w:val="20"/>
              </w:rPr>
              <w:t xml:space="preserve"> </w:t>
            </w:r>
            <w:proofErr w:type="spellStart"/>
            <w:r w:rsidRPr="004C0798">
              <w:rPr>
                <w:rFonts w:asciiTheme="majorHAnsi" w:eastAsia="Times New Roman" w:hAnsiTheme="majorHAnsi" w:cstheme="majorHAnsi"/>
                <w:b/>
                <w:i/>
                <w:color w:val="808080" w:themeColor="background1" w:themeShade="80"/>
                <w:sz w:val="20"/>
                <w:szCs w:val="20"/>
              </w:rPr>
              <w:t>contribution</w:t>
            </w:r>
            <w:proofErr w:type="spellEnd"/>
          </w:p>
        </w:tc>
      </w:tr>
      <w:tr w:rsidR="00EA37BF" w:rsidRPr="004C0798" w14:paraId="34F232B3" w14:textId="77777777" w:rsidTr="00861438">
        <w:trPr>
          <w:trHeight w:val="875"/>
          <w:jc w:val="center"/>
        </w:trPr>
        <w:tc>
          <w:tcPr>
            <w:tcW w:w="922" w:type="dxa"/>
            <w:vMerge w:val="restart"/>
          </w:tcPr>
          <w:p w14:paraId="28E95C5A"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Specific </w:t>
            </w:r>
            <w:proofErr w:type="spellStart"/>
            <w:r w:rsidRPr="004C0798">
              <w:rPr>
                <w:rFonts w:asciiTheme="majorHAnsi" w:eastAsia="Times New Roman" w:hAnsiTheme="majorHAnsi" w:cstheme="majorHAnsi"/>
                <w:b/>
                <w:color w:val="808080" w:themeColor="background1" w:themeShade="80"/>
                <w:sz w:val="20"/>
                <w:szCs w:val="20"/>
              </w:rPr>
              <w:t>objective</w:t>
            </w:r>
            <w:proofErr w:type="spellEnd"/>
          </w:p>
          <w:p w14:paraId="1B88C353"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p>
        </w:tc>
        <w:tc>
          <w:tcPr>
            <w:tcW w:w="1892" w:type="dxa"/>
            <w:vMerge w:val="restart"/>
          </w:tcPr>
          <w:p w14:paraId="68BA0215"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p>
          <w:p w14:paraId="42EEC74B"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Type</w:t>
            </w:r>
            <w:proofErr w:type="spellEnd"/>
            <w:r w:rsidRPr="004C0798">
              <w:rPr>
                <w:rFonts w:asciiTheme="majorHAnsi" w:eastAsia="Times New Roman" w:hAnsiTheme="majorHAnsi" w:cstheme="majorHAnsi"/>
                <w:b/>
                <w:color w:val="808080" w:themeColor="background1" w:themeShade="80"/>
                <w:sz w:val="20"/>
                <w:szCs w:val="20"/>
              </w:rPr>
              <w:t xml:space="preserve"> of </w:t>
            </w:r>
            <w:proofErr w:type="spellStart"/>
            <w:r w:rsidRPr="004C0798">
              <w:rPr>
                <w:rFonts w:asciiTheme="majorHAnsi" w:eastAsia="Times New Roman" w:hAnsiTheme="majorHAnsi" w:cstheme="majorHAnsi"/>
                <w:b/>
                <w:color w:val="808080" w:themeColor="background1" w:themeShade="80"/>
                <w:sz w:val="20"/>
                <w:szCs w:val="20"/>
              </w:rPr>
              <w:t>action</w:t>
            </w:r>
            <w:proofErr w:type="spellEnd"/>
          </w:p>
        </w:tc>
        <w:tc>
          <w:tcPr>
            <w:tcW w:w="1121" w:type="dxa"/>
            <w:vMerge w:val="restart"/>
          </w:tcPr>
          <w:p w14:paraId="5D605A5E"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Basis</w:t>
            </w:r>
            <w:proofErr w:type="spellEnd"/>
            <w:r w:rsidRPr="004C0798">
              <w:rPr>
                <w:rFonts w:asciiTheme="majorHAnsi" w:eastAsia="Times New Roman" w:hAnsiTheme="majorHAnsi" w:cstheme="majorHAnsi"/>
                <w:b/>
                <w:color w:val="808080" w:themeColor="background1" w:themeShade="80"/>
                <w:sz w:val="20"/>
                <w:szCs w:val="20"/>
              </w:rPr>
              <w:t xml:space="preserve"> for </w:t>
            </w:r>
            <w:proofErr w:type="spellStart"/>
            <w:r w:rsidRPr="004C0798">
              <w:rPr>
                <w:rFonts w:asciiTheme="majorHAnsi" w:eastAsia="Times New Roman" w:hAnsiTheme="majorHAnsi" w:cstheme="majorHAnsi"/>
                <w:b/>
                <w:color w:val="808080" w:themeColor="background1" w:themeShade="80"/>
                <w:sz w:val="20"/>
                <w:szCs w:val="20"/>
              </w:rPr>
              <w:t>calculation</w:t>
            </w:r>
            <w:proofErr w:type="spellEnd"/>
            <w:r w:rsidRPr="004C0798">
              <w:rPr>
                <w:rFonts w:asciiTheme="majorHAnsi" w:eastAsia="Times New Roman" w:hAnsiTheme="majorHAnsi" w:cstheme="majorHAnsi"/>
                <w:b/>
                <w:color w:val="808080" w:themeColor="background1" w:themeShade="80"/>
                <w:sz w:val="20"/>
                <w:szCs w:val="20"/>
              </w:rPr>
              <w:t xml:space="preserve"> EU </w:t>
            </w:r>
            <w:proofErr w:type="spellStart"/>
            <w:r w:rsidRPr="004C0798">
              <w:rPr>
                <w:rFonts w:asciiTheme="majorHAnsi" w:eastAsia="Times New Roman" w:hAnsiTheme="majorHAnsi" w:cstheme="majorHAnsi"/>
                <w:b/>
                <w:color w:val="808080" w:themeColor="background1" w:themeShade="80"/>
                <w:sz w:val="20"/>
                <w:szCs w:val="20"/>
              </w:rPr>
              <w:t>support</w:t>
            </w:r>
            <w:proofErr w:type="spellEnd"/>
            <w:r w:rsidRPr="004C0798">
              <w:rPr>
                <w:rFonts w:asciiTheme="majorHAnsi" w:eastAsia="Times New Roman" w:hAnsiTheme="majorHAnsi" w:cstheme="majorHAnsi"/>
                <w:b/>
                <w:color w:val="808080" w:themeColor="background1" w:themeShade="80"/>
                <w:sz w:val="20"/>
                <w:szCs w:val="20"/>
              </w:rPr>
              <w:t xml:space="preserve"> (total or public)</w:t>
            </w:r>
          </w:p>
        </w:tc>
        <w:tc>
          <w:tcPr>
            <w:tcW w:w="1070" w:type="dxa"/>
            <w:vMerge w:val="restart"/>
          </w:tcPr>
          <w:p w14:paraId="5477A4FC"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i/>
                <w:strike/>
                <w:color w:val="808080" w:themeColor="background1" w:themeShade="80"/>
                <w:sz w:val="20"/>
                <w:szCs w:val="20"/>
                <w:u w:val="single"/>
              </w:rPr>
              <w:t>EU</w:t>
            </w:r>
            <w:r w:rsidRPr="004C0798">
              <w:rPr>
                <w:rFonts w:asciiTheme="majorHAnsi" w:eastAsia="Times New Roman" w:hAnsiTheme="majorHAnsi" w:cstheme="majorHAnsi"/>
                <w:b/>
                <w:i/>
                <w:color w:val="808080" w:themeColor="background1" w:themeShade="80"/>
                <w:sz w:val="20"/>
                <w:szCs w:val="20"/>
              </w:rPr>
              <w:t xml:space="preserve"> </w:t>
            </w:r>
            <w:r w:rsidRPr="004C0798">
              <w:rPr>
                <w:rFonts w:asciiTheme="majorHAnsi" w:eastAsia="Times New Roman" w:hAnsiTheme="majorHAnsi" w:cstheme="majorHAnsi"/>
                <w:b/>
                <w:i/>
                <w:color w:val="808080" w:themeColor="background1" w:themeShade="80"/>
                <w:sz w:val="20"/>
                <w:szCs w:val="20"/>
                <w:u w:val="single"/>
              </w:rPr>
              <w:t>Union</w:t>
            </w:r>
            <w:r w:rsidRPr="004C0798">
              <w:rPr>
                <w:rFonts w:asciiTheme="majorHAnsi" w:eastAsia="Times New Roman" w:hAnsiTheme="majorHAnsi" w:cstheme="majorHAnsi"/>
                <w:b/>
                <w:color w:val="808080" w:themeColor="background1" w:themeShade="80"/>
                <w:sz w:val="20"/>
                <w:szCs w:val="20"/>
              </w:rPr>
              <w:t xml:space="preserve"> </w:t>
            </w:r>
            <w:proofErr w:type="spellStart"/>
            <w:r w:rsidRPr="004C0798">
              <w:rPr>
                <w:rFonts w:asciiTheme="majorHAnsi" w:eastAsia="Times New Roman" w:hAnsiTheme="majorHAnsi" w:cstheme="majorHAnsi"/>
                <w:b/>
                <w:color w:val="808080" w:themeColor="background1" w:themeShade="80"/>
                <w:sz w:val="20"/>
                <w:szCs w:val="20"/>
              </w:rPr>
              <w:t>contribution</w:t>
            </w:r>
            <w:proofErr w:type="spellEnd"/>
            <w:r w:rsidRPr="004C0798">
              <w:rPr>
                <w:rFonts w:asciiTheme="majorHAnsi" w:eastAsia="Times New Roman" w:hAnsiTheme="majorHAnsi" w:cstheme="majorHAnsi"/>
                <w:b/>
                <w:color w:val="808080" w:themeColor="background1" w:themeShade="80"/>
                <w:sz w:val="20"/>
                <w:szCs w:val="20"/>
              </w:rPr>
              <w:t xml:space="preserve"> (a)</w:t>
            </w:r>
          </w:p>
          <w:p w14:paraId="0D01336A"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p>
        </w:tc>
        <w:tc>
          <w:tcPr>
            <w:tcW w:w="1088" w:type="dxa"/>
            <w:vMerge w:val="restart"/>
          </w:tcPr>
          <w:p w14:paraId="021E1126"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National </w:t>
            </w:r>
            <w:proofErr w:type="spellStart"/>
            <w:r w:rsidRPr="004C0798">
              <w:rPr>
                <w:rFonts w:asciiTheme="majorHAnsi" w:eastAsia="Times New Roman" w:hAnsiTheme="majorHAnsi" w:cstheme="majorHAnsi"/>
                <w:b/>
                <w:color w:val="808080" w:themeColor="background1" w:themeShade="80"/>
                <w:sz w:val="20"/>
                <w:szCs w:val="20"/>
              </w:rPr>
              <w:t>contribution</w:t>
            </w:r>
            <w:proofErr w:type="spellEnd"/>
            <w:r w:rsidRPr="004C0798">
              <w:rPr>
                <w:rFonts w:asciiTheme="majorHAnsi" w:eastAsia="Times New Roman" w:hAnsiTheme="majorHAnsi" w:cstheme="majorHAnsi"/>
                <w:b/>
                <w:color w:val="808080" w:themeColor="background1" w:themeShade="80"/>
                <w:sz w:val="20"/>
                <w:szCs w:val="20"/>
              </w:rPr>
              <w:t xml:space="preserve"> (b)=(c)+(d)</w:t>
            </w:r>
          </w:p>
          <w:p w14:paraId="568495A7"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p>
        </w:tc>
        <w:tc>
          <w:tcPr>
            <w:tcW w:w="1746" w:type="dxa"/>
            <w:gridSpan w:val="2"/>
          </w:tcPr>
          <w:p w14:paraId="376E0003"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Indicative </w:t>
            </w:r>
            <w:proofErr w:type="spellStart"/>
            <w:r w:rsidRPr="004C0798">
              <w:rPr>
                <w:rFonts w:asciiTheme="majorHAnsi" w:eastAsia="Times New Roman" w:hAnsiTheme="majorHAnsi" w:cstheme="majorHAnsi"/>
                <w:b/>
                <w:color w:val="808080" w:themeColor="background1" w:themeShade="80"/>
                <w:sz w:val="20"/>
                <w:szCs w:val="20"/>
              </w:rPr>
              <w:t>breakdown</w:t>
            </w:r>
            <w:proofErr w:type="spellEnd"/>
            <w:r w:rsidRPr="004C0798">
              <w:rPr>
                <w:rFonts w:asciiTheme="majorHAnsi" w:eastAsia="Times New Roman" w:hAnsiTheme="majorHAnsi" w:cstheme="majorHAnsi"/>
                <w:b/>
                <w:color w:val="808080" w:themeColor="background1" w:themeShade="80"/>
                <w:sz w:val="20"/>
                <w:szCs w:val="20"/>
              </w:rPr>
              <w:t xml:space="preserve"> of </w:t>
            </w:r>
            <w:proofErr w:type="spellStart"/>
            <w:r w:rsidRPr="004C0798">
              <w:rPr>
                <w:rFonts w:asciiTheme="majorHAnsi" w:eastAsia="Times New Roman" w:hAnsiTheme="majorHAnsi" w:cstheme="majorHAnsi"/>
                <w:b/>
                <w:color w:val="808080" w:themeColor="background1" w:themeShade="80"/>
                <w:sz w:val="20"/>
                <w:szCs w:val="20"/>
              </w:rPr>
              <w:t>national</w:t>
            </w:r>
            <w:proofErr w:type="spellEnd"/>
            <w:r w:rsidRPr="004C0798">
              <w:rPr>
                <w:rFonts w:asciiTheme="majorHAnsi" w:eastAsia="Times New Roman" w:hAnsiTheme="majorHAnsi" w:cstheme="majorHAnsi"/>
                <w:b/>
                <w:color w:val="808080" w:themeColor="background1" w:themeShade="80"/>
                <w:sz w:val="20"/>
                <w:szCs w:val="20"/>
              </w:rPr>
              <w:t xml:space="preserve"> </w:t>
            </w:r>
            <w:proofErr w:type="spellStart"/>
            <w:r w:rsidRPr="004C0798">
              <w:rPr>
                <w:rFonts w:asciiTheme="majorHAnsi" w:eastAsia="Times New Roman" w:hAnsiTheme="majorHAnsi" w:cstheme="majorHAnsi"/>
                <w:b/>
                <w:color w:val="808080" w:themeColor="background1" w:themeShade="80"/>
                <w:sz w:val="20"/>
                <w:szCs w:val="20"/>
              </w:rPr>
              <w:t>contribution</w:t>
            </w:r>
            <w:proofErr w:type="spellEnd"/>
          </w:p>
        </w:tc>
        <w:tc>
          <w:tcPr>
            <w:tcW w:w="852" w:type="dxa"/>
            <w:vMerge w:val="restart"/>
          </w:tcPr>
          <w:p w14:paraId="1203437E"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Total </w:t>
            </w:r>
          </w:p>
          <w:p w14:paraId="2240E86E"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e=(a)+(b)</w:t>
            </w:r>
          </w:p>
        </w:tc>
        <w:tc>
          <w:tcPr>
            <w:tcW w:w="937" w:type="dxa"/>
            <w:vMerge w:val="restart"/>
          </w:tcPr>
          <w:p w14:paraId="2F218B85"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Co-</w:t>
            </w:r>
            <w:proofErr w:type="spellStart"/>
            <w:r w:rsidRPr="004C0798">
              <w:rPr>
                <w:rFonts w:asciiTheme="majorHAnsi" w:eastAsia="Times New Roman" w:hAnsiTheme="majorHAnsi" w:cstheme="majorHAnsi"/>
                <w:b/>
                <w:color w:val="808080" w:themeColor="background1" w:themeShade="80"/>
                <w:sz w:val="20"/>
                <w:szCs w:val="20"/>
              </w:rPr>
              <w:t>financing</w:t>
            </w:r>
            <w:proofErr w:type="spellEnd"/>
            <w:r w:rsidRPr="004C0798">
              <w:rPr>
                <w:rFonts w:asciiTheme="majorHAnsi" w:eastAsia="Times New Roman" w:hAnsiTheme="majorHAnsi" w:cstheme="majorHAnsi"/>
                <w:b/>
                <w:color w:val="808080" w:themeColor="background1" w:themeShade="80"/>
                <w:sz w:val="20"/>
                <w:szCs w:val="20"/>
              </w:rPr>
              <w:t xml:space="preserve"> rate (f)=(a)/(e)</w:t>
            </w:r>
          </w:p>
        </w:tc>
      </w:tr>
      <w:tr w:rsidR="00EA37BF" w:rsidRPr="004C0798" w14:paraId="1E2C5EF0" w14:textId="77777777" w:rsidTr="00861438">
        <w:trPr>
          <w:jc w:val="center"/>
        </w:trPr>
        <w:tc>
          <w:tcPr>
            <w:tcW w:w="922" w:type="dxa"/>
            <w:vMerge/>
          </w:tcPr>
          <w:p w14:paraId="4A8FDE82" w14:textId="77777777" w:rsidR="00EA37BF" w:rsidRPr="004C0798" w:rsidRDefault="00EA37BF" w:rsidP="00861438">
            <w:pPr>
              <w:widowControl w:val="0"/>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p>
        </w:tc>
        <w:tc>
          <w:tcPr>
            <w:tcW w:w="1892" w:type="dxa"/>
            <w:vMerge/>
          </w:tcPr>
          <w:p w14:paraId="0C580722" w14:textId="77777777" w:rsidR="00EA37BF" w:rsidRPr="004C0798" w:rsidRDefault="00EA37BF" w:rsidP="00861438">
            <w:pPr>
              <w:widowControl w:val="0"/>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p>
        </w:tc>
        <w:tc>
          <w:tcPr>
            <w:tcW w:w="1121" w:type="dxa"/>
            <w:vMerge/>
          </w:tcPr>
          <w:p w14:paraId="28165807" w14:textId="77777777" w:rsidR="00EA37BF" w:rsidRPr="004C0798" w:rsidRDefault="00EA37BF" w:rsidP="00861438">
            <w:pPr>
              <w:widowControl w:val="0"/>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p>
        </w:tc>
        <w:tc>
          <w:tcPr>
            <w:tcW w:w="1070" w:type="dxa"/>
            <w:vMerge/>
          </w:tcPr>
          <w:p w14:paraId="7C3BD29D" w14:textId="77777777" w:rsidR="00EA37BF" w:rsidRPr="004C0798" w:rsidRDefault="00EA37BF" w:rsidP="00861438">
            <w:pPr>
              <w:widowControl w:val="0"/>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p>
        </w:tc>
        <w:tc>
          <w:tcPr>
            <w:tcW w:w="1088" w:type="dxa"/>
            <w:vMerge/>
          </w:tcPr>
          <w:p w14:paraId="1E0BDB94" w14:textId="77777777" w:rsidR="00EA37BF" w:rsidRPr="004C0798" w:rsidRDefault="00EA37BF" w:rsidP="00861438">
            <w:pPr>
              <w:widowControl w:val="0"/>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p>
        </w:tc>
        <w:tc>
          <w:tcPr>
            <w:tcW w:w="880" w:type="dxa"/>
          </w:tcPr>
          <w:p w14:paraId="47F3910F"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public (c )</w:t>
            </w:r>
          </w:p>
        </w:tc>
        <w:tc>
          <w:tcPr>
            <w:tcW w:w="866" w:type="dxa"/>
          </w:tcPr>
          <w:p w14:paraId="6610D38C"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private (d)</w:t>
            </w:r>
          </w:p>
        </w:tc>
        <w:tc>
          <w:tcPr>
            <w:tcW w:w="852" w:type="dxa"/>
            <w:vMerge/>
          </w:tcPr>
          <w:p w14:paraId="2E909FAA" w14:textId="77777777" w:rsidR="00EA37BF" w:rsidRPr="004C0798" w:rsidRDefault="00EA37BF" w:rsidP="00861438">
            <w:pPr>
              <w:widowControl w:val="0"/>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p>
        </w:tc>
        <w:tc>
          <w:tcPr>
            <w:tcW w:w="937" w:type="dxa"/>
            <w:vMerge/>
          </w:tcPr>
          <w:p w14:paraId="7D4A159F" w14:textId="77777777" w:rsidR="00EA37BF" w:rsidRPr="004C0798" w:rsidRDefault="00EA37BF" w:rsidP="00861438">
            <w:pPr>
              <w:widowControl w:val="0"/>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p>
        </w:tc>
      </w:tr>
      <w:tr w:rsidR="00EA37BF" w:rsidRPr="004C0798" w14:paraId="12714DD1" w14:textId="77777777" w:rsidTr="00861438">
        <w:trPr>
          <w:jc w:val="center"/>
        </w:trPr>
        <w:tc>
          <w:tcPr>
            <w:tcW w:w="922" w:type="dxa"/>
          </w:tcPr>
          <w:p w14:paraId="2742DF80"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Specific </w:t>
            </w:r>
            <w:proofErr w:type="spellStart"/>
            <w:r w:rsidRPr="004C0798">
              <w:rPr>
                <w:rFonts w:asciiTheme="majorHAnsi" w:hAnsiTheme="majorHAnsi" w:cstheme="majorHAnsi"/>
                <w:color w:val="808080" w:themeColor="background1" w:themeShade="80"/>
                <w:sz w:val="20"/>
                <w:szCs w:val="20"/>
              </w:rPr>
              <w:t>objective</w:t>
            </w:r>
            <w:proofErr w:type="spellEnd"/>
            <w:r w:rsidRPr="004C0798">
              <w:rPr>
                <w:rFonts w:asciiTheme="majorHAnsi" w:hAnsiTheme="majorHAnsi" w:cstheme="majorHAnsi"/>
                <w:color w:val="808080" w:themeColor="background1" w:themeShade="80"/>
                <w:sz w:val="20"/>
                <w:szCs w:val="20"/>
              </w:rPr>
              <w:t xml:space="preserve"> 1</w:t>
            </w:r>
          </w:p>
        </w:tc>
        <w:tc>
          <w:tcPr>
            <w:tcW w:w="1892" w:type="dxa"/>
          </w:tcPr>
          <w:p w14:paraId="4B8501D3"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11(1) of ISF or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12(1)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48A3CAB4"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4EA42711"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0A7BA28D"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4417B9DD"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5D42276E"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4DEF8020"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78132B4E"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r w:rsidR="00EA37BF" w:rsidRPr="004C0798" w14:paraId="55EFE94C" w14:textId="77777777" w:rsidTr="00861438">
        <w:trPr>
          <w:jc w:val="center"/>
        </w:trPr>
        <w:tc>
          <w:tcPr>
            <w:tcW w:w="922" w:type="dxa"/>
          </w:tcPr>
          <w:p w14:paraId="1FC315C8"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892" w:type="dxa"/>
          </w:tcPr>
          <w:p w14:paraId="1A275EBE"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11(2) of ISF or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12(2)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736A64A1"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53A36AE0"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3F47ECEA"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4558A92B"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755EC07E"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4F0B94DD"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0A5ABC21"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r w:rsidR="00EA37BF" w:rsidRPr="004C0798" w14:paraId="18212448" w14:textId="77777777" w:rsidTr="00861438">
        <w:trPr>
          <w:jc w:val="center"/>
        </w:trPr>
        <w:tc>
          <w:tcPr>
            <w:tcW w:w="922" w:type="dxa"/>
          </w:tcPr>
          <w:p w14:paraId="6FD5E1FF"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892" w:type="dxa"/>
          </w:tcPr>
          <w:p w14:paraId="7B4BE839"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11(3) of ISF or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12(3)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2A18C4D3"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13439EB5"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242C473E"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51B5E5EC"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4A4264C0"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702007AB"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17D316DF"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r w:rsidR="00EA37BF" w:rsidRPr="004C0798" w14:paraId="6256C9E5" w14:textId="77777777" w:rsidTr="00861438">
        <w:trPr>
          <w:jc w:val="center"/>
        </w:trPr>
        <w:tc>
          <w:tcPr>
            <w:tcW w:w="922" w:type="dxa"/>
          </w:tcPr>
          <w:p w14:paraId="4A79ABA2"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892" w:type="dxa"/>
          </w:tcPr>
          <w:p w14:paraId="38BA38A6"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11(4) of ISF or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excluding</w:t>
            </w:r>
            <w:proofErr w:type="spellEnd"/>
            <w:r w:rsidRPr="004C0798">
              <w:rPr>
                <w:rFonts w:asciiTheme="majorHAnsi" w:hAnsiTheme="majorHAnsi" w:cstheme="majorHAnsi"/>
                <w:i/>
                <w:color w:val="808080" w:themeColor="background1" w:themeShade="80"/>
                <w:sz w:val="20"/>
                <w:szCs w:val="20"/>
              </w:rPr>
              <w:t xml:space="preserve"> Special </w:t>
            </w:r>
            <w:proofErr w:type="spellStart"/>
            <w:r w:rsidRPr="004C0798">
              <w:rPr>
                <w:rFonts w:asciiTheme="majorHAnsi" w:hAnsiTheme="majorHAnsi" w:cstheme="majorHAnsi"/>
                <w:i/>
                <w:color w:val="808080" w:themeColor="background1" w:themeShade="80"/>
                <w:sz w:val="20"/>
                <w:szCs w:val="20"/>
              </w:rPr>
              <w:t>Transit</w:t>
            </w:r>
            <w:proofErr w:type="spellEnd"/>
            <w:r w:rsidRPr="004C0798">
              <w:rPr>
                <w:rFonts w:asciiTheme="majorHAnsi" w:hAnsiTheme="majorHAnsi" w:cstheme="majorHAnsi"/>
                <w:i/>
                <w:color w:val="808080" w:themeColor="background1" w:themeShade="80"/>
                <w:sz w:val="20"/>
                <w:szCs w:val="20"/>
              </w:rPr>
              <w:t xml:space="preserve"> Scheme)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12(4)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5B1C0721"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5D4A5A1F"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08704F00"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57937084"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4E5056A9"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7B198202"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1C9D8728"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r w:rsidR="00EA37BF" w:rsidRPr="004C0798" w14:paraId="05526396" w14:textId="77777777" w:rsidTr="00861438">
        <w:trPr>
          <w:jc w:val="center"/>
        </w:trPr>
        <w:tc>
          <w:tcPr>
            <w:tcW w:w="922" w:type="dxa"/>
          </w:tcPr>
          <w:p w14:paraId="368C3128"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892" w:type="dxa"/>
          </w:tcPr>
          <w:p w14:paraId="3B4692A4" w14:textId="77777777" w:rsidR="00EA37BF" w:rsidRPr="004C0798" w:rsidRDefault="00EA37BF" w:rsidP="00861438">
            <w:pPr>
              <w:spacing w:after="120" w:line="240" w:lineRule="auto"/>
              <w:rPr>
                <w:rFonts w:asciiTheme="majorHAnsi" w:hAnsiTheme="majorHAnsi" w:cstheme="majorHAnsi"/>
                <w:i/>
                <w:strike/>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11(4) of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(Special </w:t>
            </w:r>
            <w:proofErr w:type="spellStart"/>
            <w:r w:rsidRPr="004C0798">
              <w:rPr>
                <w:rFonts w:asciiTheme="majorHAnsi" w:hAnsiTheme="majorHAnsi" w:cstheme="majorHAnsi"/>
                <w:i/>
                <w:color w:val="808080" w:themeColor="background1" w:themeShade="80"/>
                <w:sz w:val="20"/>
                <w:szCs w:val="20"/>
              </w:rPr>
              <w:t>Transit</w:t>
            </w:r>
            <w:proofErr w:type="spellEnd"/>
            <w:r w:rsidRPr="004C0798">
              <w:rPr>
                <w:rFonts w:asciiTheme="majorHAnsi" w:hAnsiTheme="majorHAnsi" w:cstheme="majorHAnsi"/>
                <w:i/>
                <w:color w:val="808080" w:themeColor="background1" w:themeShade="80"/>
                <w:sz w:val="20"/>
                <w:szCs w:val="20"/>
              </w:rPr>
              <w:t xml:space="preserve"> Scheme) </w:t>
            </w:r>
          </w:p>
        </w:tc>
        <w:tc>
          <w:tcPr>
            <w:tcW w:w="1121" w:type="dxa"/>
          </w:tcPr>
          <w:p w14:paraId="1D745F84"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14811ECD"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38875BC4"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3BD83802"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70E97B57"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482DB7E9"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1CF53080"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r w:rsidR="00EA37BF" w:rsidRPr="004C0798" w14:paraId="0DC9ECD3" w14:textId="77777777" w:rsidTr="00861438">
        <w:trPr>
          <w:jc w:val="center"/>
        </w:trPr>
        <w:tc>
          <w:tcPr>
            <w:tcW w:w="922" w:type="dxa"/>
          </w:tcPr>
          <w:p w14:paraId="44C3371A"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892" w:type="dxa"/>
          </w:tcPr>
          <w:p w14:paraId="1025B079" w14:textId="77777777" w:rsidR="00EA37BF" w:rsidRPr="004C0798" w:rsidRDefault="00EA37BF" w:rsidP="00861438">
            <w:pPr>
              <w:spacing w:after="120" w:line="240" w:lineRule="auto"/>
              <w:rPr>
                <w:rFonts w:asciiTheme="majorHAnsi" w:hAnsiTheme="majorHAnsi" w:cstheme="majorHAnsi"/>
                <w:i/>
                <w:strike/>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11(5) of ISF or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12(5)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10EFC523"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596A8583"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6690DC76"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5E668DF5"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1F60C9D8"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5F2C3524"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3DFF7F78"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r w:rsidR="00EA37BF" w:rsidRPr="004C0798" w14:paraId="5A1CA969" w14:textId="77777777" w:rsidTr="00861438">
        <w:trPr>
          <w:jc w:val="center"/>
        </w:trPr>
        <w:tc>
          <w:tcPr>
            <w:tcW w:w="922" w:type="dxa"/>
          </w:tcPr>
          <w:p w14:paraId="168F000B"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892" w:type="dxa"/>
          </w:tcPr>
          <w:p w14:paraId="070171FA" w14:textId="77777777" w:rsidR="00EA37BF" w:rsidRPr="004C0798" w:rsidRDefault="00EA37BF" w:rsidP="00861438">
            <w:pPr>
              <w:spacing w:after="120" w:line="240" w:lineRule="auto"/>
              <w:rPr>
                <w:rFonts w:asciiTheme="majorHAnsi" w:hAnsiTheme="majorHAnsi" w:cstheme="majorHAnsi"/>
                <w:i/>
                <w:strike/>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16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5D7E3E56"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4F2A6420"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284FF545"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1E812326"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5B2E1C6E"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13058793"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562EBD2F"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r w:rsidR="00EA37BF" w:rsidRPr="004C0798" w14:paraId="289B3712" w14:textId="77777777" w:rsidTr="00861438">
        <w:trPr>
          <w:jc w:val="center"/>
        </w:trPr>
        <w:tc>
          <w:tcPr>
            <w:tcW w:w="922" w:type="dxa"/>
          </w:tcPr>
          <w:p w14:paraId="189C0C38"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892" w:type="dxa"/>
          </w:tcPr>
          <w:p w14:paraId="358D897A" w14:textId="77777777" w:rsidR="00EA37BF" w:rsidRPr="004C0798" w:rsidRDefault="00EA37BF" w:rsidP="00861438">
            <w:pPr>
              <w:spacing w:after="120" w:line="240" w:lineRule="auto"/>
              <w:rPr>
                <w:rFonts w:asciiTheme="majorHAnsi" w:hAnsiTheme="majorHAnsi" w:cstheme="majorHAnsi"/>
                <w:i/>
                <w:strike/>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w:t>
            </w:r>
            <w:r w:rsidRPr="004C0798">
              <w:rPr>
                <w:rFonts w:asciiTheme="majorHAnsi" w:hAnsiTheme="majorHAnsi" w:cstheme="majorHAnsi"/>
                <w:i/>
                <w:color w:val="808080" w:themeColor="background1" w:themeShade="80"/>
                <w:sz w:val="20"/>
                <w:szCs w:val="20"/>
              </w:rPr>
              <w:lastRenderedPageBreak/>
              <w:t xml:space="preserve">17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11DFCB97"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51921128"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6BA9194D"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513C7CC8"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188BEE62"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4B44E464"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2CFAB269"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r w:rsidR="00EA37BF" w:rsidRPr="004C0798" w14:paraId="4ACE5D77" w14:textId="77777777" w:rsidTr="00861438">
        <w:trPr>
          <w:jc w:val="center"/>
        </w:trPr>
        <w:tc>
          <w:tcPr>
            <w:tcW w:w="922" w:type="dxa"/>
          </w:tcPr>
          <w:p w14:paraId="659C679B"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Total for SO 1</w:t>
            </w:r>
          </w:p>
        </w:tc>
        <w:tc>
          <w:tcPr>
            <w:tcW w:w="1892" w:type="dxa"/>
          </w:tcPr>
          <w:p w14:paraId="3C3F9CBF"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121" w:type="dxa"/>
            <w:shd w:val="clear" w:color="auto" w:fill="BFBFBF"/>
          </w:tcPr>
          <w:p w14:paraId="6F6D1364"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468DD286"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49D2276F"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1E3FB57A"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0D21CF3B"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6517CFF7"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937" w:type="dxa"/>
            <w:shd w:val="clear" w:color="auto" w:fill="BFBFBF"/>
          </w:tcPr>
          <w:p w14:paraId="5D922626"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r w:rsidR="00EA37BF" w:rsidRPr="004C0798" w14:paraId="61A529FA" w14:textId="77777777" w:rsidTr="00861438">
        <w:trPr>
          <w:jc w:val="center"/>
        </w:trPr>
        <w:tc>
          <w:tcPr>
            <w:tcW w:w="922" w:type="dxa"/>
          </w:tcPr>
          <w:p w14:paraId="69E47A04"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SO 2</w:t>
            </w:r>
          </w:p>
        </w:tc>
        <w:tc>
          <w:tcPr>
            <w:tcW w:w="1892" w:type="dxa"/>
          </w:tcPr>
          <w:p w14:paraId="7D29D8D8"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11(1) of ISF or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12(1)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4970DE2A"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0A07C94D"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67C252DB"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24F18B21"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61733638"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1BF3FC41"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7A211164"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r w:rsidR="00EA37BF" w:rsidRPr="004C0798" w14:paraId="1F9D4E35" w14:textId="77777777" w:rsidTr="00861438">
        <w:trPr>
          <w:jc w:val="center"/>
        </w:trPr>
        <w:tc>
          <w:tcPr>
            <w:tcW w:w="922" w:type="dxa"/>
          </w:tcPr>
          <w:p w14:paraId="18485761"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892" w:type="dxa"/>
          </w:tcPr>
          <w:p w14:paraId="2A4CEBDF"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11(2) of ISF or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12(2)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6401965D"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2BF24B26"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0939B0B9"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053D5A5D"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1DC05B42"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7779B2AA"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12C80CBC"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r w:rsidR="00EA37BF" w:rsidRPr="004C0798" w14:paraId="23F129EB" w14:textId="77777777" w:rsidTr="00861438">
        <w:trPr>
          <w:jc w:val="center"/>
        </w:trPr>
        <w:tc>
          <w:tcPr>
            <w:tcW w:w="922" w:type="dxa"/>
          </w:tcPr>
          <w:p w14:paraId="70CE0CC9"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892" w:type="dxa"/>
          </w:tcPr>
          <w:p w14:paraId="2BCD6A71"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11(3) of ISF or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12(3)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0279286D"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7D1099FD"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00F06831"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21D9CBC9"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3B6BA966"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2C4E890E"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5BECBBE5"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r w:rsidR="00EA37BF" w:rsidRPr="004C0798" w14:paraId="2EADCCC6" w14:textId="77777777" w:rsidTr="00861438">
        <w:trPr>
          <w:jc w:val="center"/>
        </w:trPr>
        <w:tc>
          <w:tcPr>
            <w:tcW w:w="922" w:type="dxa"/>
          </w:tcPr>
          <w:p w14:paraId="75E1DB28"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892" w:type="dxa"/>
          </w:tcPr>
          <w:p w14:paraId="74A195F9" w14:textId="77777777" w:rsidR="00EA37BF" w:rsidRPr="004C0798" w:rsidRDefault="00EA37BF" w:rsidP="00861438">
            <w:pPr>
              <w:spacing w:after="120" w:line="240" w:lineRule="auto"/>
              <w:rPr>
                <w:rFonts w:asciiTheme="majorHAnsi" w:hAnsiTheme="majorHAnsi" w:cstheme="majorHAnsi"/>
                <w:i/>
                <w:strike/>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11(4) of ISF or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w:t>
            </w:r>
          </w:p>
        </w:tc>
        <w:tc>
          <w:tcPr>
            <w:tcW w:w="1121" w:type="dxa"/>
          </w:tcPr>
          <w:p w14:paraId="760368D1"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7BD90166"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4F17A069"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5871CDCF"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20F16D18"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68F304F6"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4E124A00"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r w:rsidR="00EA37BF" w:rsidRPr="004C0798" w14:paraId="355B5E97" w14:textId="77777777" w:rsidTr="00861438">
        <w:trPr>
          <w:jc w:val="center"/>
        </w:trPr>
        <w:tc>
          <w:tcPr>
            <w:tcW w:w="922" w:type="dxa"/>
          </w:tcPr>
          <w:p w14:paraId="5C959B8C"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892" w:type="dxa"/>
          </w:tcPr>
          <w:p w14:paraId="727D3EF8" w14:textId="77777777" w:rsidR="00EA37BF" w:rsidRPr="004C0798" w:rsidRDefault="00EA37BF" w:rsidP="00861438">
            <w:pPr>
              <w:spacing w:after="120" w:line="240" w:lineRule="auto"/>
              <w:rPr>
                <w:rFonts w:asciiTheme="majorHAnsi" w:hAnsiTheme="majorHAnsi" w:cstheme="majorHAnsi"/>
                <w:i/>
                <w:strike/>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11(5) of ISF or BMVI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12(5) AMIF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w:t>
            </w:r>
          </w:p>
        </w:tc>
        <w:tc>
          <w:tcPr>
            <w:tcW w:w="1121" w:type="dxa"/>
          </w:tcPr>
          <w:p w14:paraId="49E5ACA0"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0B1C4BC6"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57938FA5"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52FA86EE"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70173811"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45CEDBB0"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2BCEBDFD"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r w:rsidR="00EA37BF" w:rsidRPr="004C0798" w14:paraId="1908C784" w14:textId="77777777" w:rsidTr="00861438">
        <w:trPr>
          <w:jc w:val="center"/>
        </w:trPr>
        <w:tc>
          <w:tcPr>
            <w:tcW w:w="922" w:type="dxa"/>
          </w:tcPr>
          <w:p w14:paraId="0D488BDE"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Total for SO 2</w:t>
            </w:r>
          </w:p>
        </w:tc>
        <w:tc>
          <w:tcPr>
            <w:tcW w:w="1892" w:type="dxa"/>
          </w:tcPr>
          <w:p w14:paraId="332A824A"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121" w:type="dxa"/>
            <w:shd w:val="clear" w:color="auto" w:fill="BFBFBF"/>
          </w:tcPr>
          <w:p w14:paraId="00D52508"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0BFA56B6"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1DDD3D71"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4B8AD54E"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2825EAD7"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51AEFFA3"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937" w:type="dxa"/>
            <w:shd w:val="clear" w:color="auto" w:fill="BFBFBF"/>
          </w:tcPr>
          <w:p w14:paraId="4191FFA2"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r w:rsidR="00EA37BF" w:rsidRPr="004C0798" w14:paraId="521C6749" w14:textId="77777777" w:rsidTr="00861438">
        <w:trPr>
          <w:jc w:val="center"/>
        </w:trPr>
        <w:tc>
          <w:tcPr>
            <w:tcW w:w="922" w:type="dxa"/>
          </w:tcPr>
          <w:p w14:paraId="00DAC862"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SO 3</w:t>
            </w:r>
          </w:p>
        </w:tc>
        <w:tc>
          <w:tcPr>
            <w:tcW w:w="1892" w:type="dxa"/>
          </w:tcPr>
          <w:p w14:paraId="6445F845"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11(1) of ISF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12(1)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6B525066"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4FE33C7C"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5B943C62"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60DD658C"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288DA5EB"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5D22FE16"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227A8A67"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r w:rsidR="00EA37BF" w:rsidRPr="004C0798" w14:paraId="5E632EF7" w14:textId="77777777" w:rsidTr="00861438">
        <w:trPr>
          <w:jc w:val="center"/>
        </w:trPr>
        <w:tc>
          <w:tcPr>
            <w:tcW w:w="922" w:type="dxa"/>
          </w:tcPr>
          <w:p w14:paraId="26B33B81"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892" w:type="dxa"/>
          </w:tcPr>
          <w:p w14:paraId="44FE917D"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11(2) of ISF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12(2)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75204924"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72A2D705"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6C1FDF36"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1DC31953"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60AF3E9F"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3E023FD1"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7756F789"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r w:rsidR="00EA37BF" w:rsidRPr="004C0798" w14:paraId="2C364954" w14:textId="77777777" w:rsidTr="00861438">
        <w:trPr>
          <w:jc w:val="center"/>
        </w:trPr>
        <w:tc>
          <w:tcPr>
            <w:tcW w:w="922" w:type="dxa"/>
          </w:tcPr>
          <w:p w14:paraId="1E0D9EA9"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892" w:type="dxa"/>
          </w:tcPr>
          <w:p w14:paraId="0B8C8693"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11(3) of ISF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12(3)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29136C54"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692F8B75"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60060981"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62A77952"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4DE6285D"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11A74F01"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5A8E9D52"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r w:rsidR="00EA37BF" w:rsidRPr="004C0798" w14:paraId="2FF9041E" w14:textId="77777777" w:rsidTr="00861438">
        <w:trPr>
          <w:jc w:val="center"/>
        </w:trPr>
        <w:tc>
          <w:tcPr>
            <w:tcW w:w="922" w:type="dxa"/>
          </w:tcPr>
          <w:p w14:paraId="39A7DCA1"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892" w:type="dxa"/>
          </w:tcPr>
          <w:p w14:paraId="77C7E068" w14:textId="77777777" w:rsidR="00EA37BF" w:rsidRPr="004C0798" w:rsidRDefault="00EA37BF" w:rsidP="00861438">
            <w:pPr>
              <w:spacing w:after="120" w:line="240" w:lineRule="auto"/>
              <w:rPr>
                <w:rFonts w:asciiTheme="majorHAnsi" w:hAnsiTheme="majorHAnsi" w:cstheme="majorHAnsi"/>
                <w:i/>
                <w:strike/>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11(4) of ISF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w:t>
            </w:r>
            <w:r w:rsidRPr="004C0798">
              <w:rPr>
                <w:rFonts w:asciiTheme="majorHAnsi" w:hAnsiTheme="majorHAnsi" w:cstheme="majorHAnsi"/>
                <w:i/>
                <w:color w:val="808080" w:themeColor="background1" w:themeShade="80"/>
                <w:sz w:val="20"/>
                <w:szCs w:val="20"/>
              </w:rPr>
              <w:lastRenderedPageBreak/>
              <w:t xml:space="preserve">12(4)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49F8E067"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6BC5BB8A"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1BB87B18"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0F57192B"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1B6D4B1C"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4AE72566"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209284AF"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r w:rsidR="00EA37BF" w:rsidRPr="004C0798" w14:paraId="6C1B50A6" w14:textId="77777777" w:rsidTr="00861438">
        <w:trPr>
          <w:jc w:val="center"/>
        </w:trPr>
        <w:tc>
          <w:tcPr>
            <w:tcW w:w="922" w:type="dxa"/>
          </w:tcPr>
          <w:p w14:paraId="7F1FC4DE"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892" w:type="dxa"/>
          </w:tcPr>
          <w:p w14:paraId="00D06DEA" w14:textId="77777777" w:rsidR="00EA37BF" w:rsidRPr="004C0798" w:rsidRDefault="00EA37BF" w:rsidP="00861438">
            <w:pPr>
              <w:spacing w:after="120" w:line="240" w:lineRule="auto"/>
              <w:rPr>
                <w:rFonts w:asciiTheme="majorHAnsi" w:hAnsiTheme="majorHAnsi" w:cstheme="majorHAnsi"/>
                <w:i/>
                <w:strike/>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Actions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co-financed</w:t>
            </w:r>
            <w:proofErr w:type="spellEnd"/>
            <w:r w:rsidRPr="004C0798">
              <w:rPr>
                <w:rFonts w:asciiTheme="majorHAnsi" w:hAnsiTheme="majorHAnsi" w:cstheme="majorHAnsi"/>
                <w:i/>
                <w:color w:val="808080" w:themeColor="background1" w:themeShade="80"/>
                <w:sz w:val="20"/>
                <w:szCs w:val="20"/>
              </w:rPr>
              <w:t xml:space="preserve"> in line </w:t>
            </w:r>
            <w:proofErr w:type="spellStart"/>
            <w:r w:rsidRPr="004C0798">
              <w:rPr>
                <w:rFonts w:asciiTheme="majorHAnsi" w:hAnsiTheme="majorHAnsi" w:cstheme="majorHAnsi"/>
                <w:i/>
                <w:color w:val="808080" w:themeColor="background1" w:themeShade="80"/>
                <w:sz w:val="20"/>
                <w:szCs w:val="20"/>
              </w:rPr>
              <w:t>with</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11(5) of ISF </w:t>
            </w:r>
            <w:proofErr w:type="spellStart"/>
            <w:r w:rsidRPr="004C0798">
              <w:rPr>
                <w:rFonts w:asciiTheme="majorHAnsi" w:hAnsiTheme="majorHAnsi" w:cstheme="majorHAnsi"/>
                <w:i/>
                <w:color w:val="808080" w:themeColor="background1" w:themeShade="80"/>
                <w:sz w:val="20"/>
                <w:szCs w:val="20"/>
              </w:rPr>
              <w:t>Regulation</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12(5) of AMIF </w:t>
            </w:r>
            <w:proofErr w:type="spellStart"/>
            <w:r w:rsidRPr="004C0798">
              <w:rPr>
                <w:rFonts w:asciiTheme="majorHAnsi" w:hAnsiTheme="majorHAnsi" w:cstheme="majorHAnsi"/>
                <w:i/>
                <w:color w:val="808080" w:themeColor="background1" w:themeShade="80"/>
                <w:sz w:val="20"/>
                <w:szCs w:val="20"/>
              </w:rPr>
              <w:t>Regulation</w:t>
            </w:r>
            <w:proofErr w:type="spellEnd"/>
          </w:p>
        </w:tc>
        <w:tc>
          <w:tcPr>
            <w:tcW w:w="1121" w:type="dxa"/>
          </w:tcPr>
          <w:p w14:paraId="571567D3"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6B3CDDDF"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19189F9D"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60AFF737"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59ABE720"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32CE90EA"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399A3621"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r w:rsidR="00EA37BF" w:rsidRPr="004C0798" w14:paraId="11E0FF23" w14:textId="77777777" w:rsidTr="00861438">
        <w:trPr>
          <w:jc w:val="center"/>
        </w:trPr>
        <w:tc>
          <w:tcPr>
            <w:tcW w:w="922" w:type="dxa"/>
          </w:tcPr>
          <w:p w14:paraId="6EF1E723"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Total for SO 3</w:t>
            </w:r>
          </w:p>
        </w:tc>
        <w:tc>
          <w:tcPr>
            <w:tcW w:w="1892" w:type="dxa"/>
          </w:tcPr>
          <w:p w14:paraId="513D2D37"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121" w:type="dxa"/>
            <w:shd w:val="clear" w:color="auto" w:fill="BFBFBF"/>
          </w:tcPr>
          <w:p w14:paraId="32FC686E"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183F0873"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4533D801"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70F268FD"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1EB2AED1"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47E959F9"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937" w:type="dxa"/>
            <w:shd w:val="clear" w:color="auto" w:fill="BFBFBF"/>
          </w:tcPr>
          <w:p w14:paraId="5E2D7B53"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r w:rsidR="00EA37BF" w:rsidRPr="004C0798" w14:paraId="009A7430" w14:textId="77777777" w:rsidTr="00861438">
        <w:trPr>
          <w:jc w:val="center"/>
        </w:trPr>
        <w:tc>
          <w:tcPr>
            <w:tcW w:w="922" w:type="dxa"/>
          </w:tcPr>
          <w:p w14:paraId="7FA8AF56"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TA </w:t>
            </w:r>
            <w:proofErr w:type="spellStart"/>
            <w:r w:rsidRPr="004C0798">
              <w:rPr>
                <w:rFonts w:asciiTheme="majorHAnsi" w:hAnsiTheme="majorHAnsi" w:cstheme="majorHAnsi"/>
                <w:i/>
                <w:color w:val="808080" w:themeColor="background1" w:themeShade="80"/>
                <w:sz w:val="20"/>
                <w:szCs w:val="20"/>
              </w:rPr>
              <w:t>pursuant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30(5) CPR</w:t>
            </w:r>
          </w:p>
        </w:tc>
        <w:tc>
          <w:tcPr>
            <w:tcW w:w="1892" w:type="dxa"/>
          </w:tcPr>
          <w:p w14:paraId="055B7D58"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121" w:type="dxa"/>
          </w:tcPr>
          <w:p w14:paraId="21E43944"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4B75A431"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7B28D85E"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690195EB"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7CE1374D"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67138A7E"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73B4F7FC"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r w:rsidR="00EA37BF" w:rsidRPr="004C0798" w14:paraId="4748F45D" w14:textId="77777777" w:rsidTr="00861438">
        <w:trPr>
          <w:jc w:val="center"/>
        </w:trPr>
        <w:tc>
          <w:tcPr>
            <w:tcW w:w="922" w:type="dxa"/>
          </w:tcPr>
          <w:p w14:paraId="40680FCF"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TA </w:t>
            </w:r>
            <w:proofErr w:type="spellStart"/>
            <w:r w:rsidRPr="004C0798">
              <w:rPr>
                <w:rFonts w:asciiTheme="majorHAnsi" w:hAnsiTheme="majorHAnsi" w:cstheme="majorHAnsi"/>
                <w:i/>
                <w:color w:val="808080" w:themeColor="background1" w:themeShade="80"/>
                <w:sz w:val="20"/>
                <w:szCs w:val="20"/>
              </w:rPr>
              <w:t>pursuant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32 CPR</w:t>
            </w:r>
          </w:p>
        </w:tc>
        <w:tc>
          <w:tcPr>
            <w:tcW w:w="1892" w:type="dxa"/>
          </w:tcPr>
          <w:p w14:paraId="73333EC8"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121" w:type="dxa"/>
          </w:tcPr>
          <w:p w14:paraId="0FFC6802"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612ED730"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5D022AB2"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372CDBD6"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4EFA6D2B"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783AEEF2"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937" w:type="dxa"/>
          </w:tcPr>
          <w:p w14:paraId="07EDC270"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r w:rsidR="00EA37BF" w:rsidRPr="004C0798" w14:paraId="5D5CA7C9" w14:textId="77777777" w:rsidTr="00861438">
        <w:trPr>
          <w:jc w:val="center"/>
        </w:trPr>
        <w:tc>
          <w:tcPr>
            <w:tcW w:w="922" w:type="dxa"/>
          </w:tcPr>
          <w:p w14:paraId="54D37E08"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Grand</w:t>
            </w:r>
            <w:proofErr w:type="spellEnd"/>
            <w:r w:rsidRPr="004C0798">
              <w:rPr>
                <w:rFonts w:asciiTheme="majorHAnsi" w:hAnsiTheme="majorHAnsi" w:cstheme="majorHAnsi"/>
                <w:color w:val="808080" w:themeColor="background1" w:themeShade="80"/>
                <w:sz w:val="20"/>
                <w:szCs w:val="20"/>
              </w:rPr>
              <w:t xml:space="preserve"> total</w:t>
            </w:r>
          </w:p>
        </w:tc>
        <w:tc>
          <w:tcPr>
            <w:tcW w:w="1892" w:type="dxa"/>
          </w:tcPr>
          <w:p w14:paraId="5096E879"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121" w:type="dxa"/>
            <w:shd w:val="clear" w:color="auto" w:fill="BFBFBF"/>
          </w:tcPr>
          <w:p w14:paraId="4861558E"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70" w:type="dxa"/>
          </w:tcPr>
          <w:p w14:paraId="591BFC21"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088" w:type="dxa"/>
          </w:tcPr>
          <w:p w14:paraId="21A46C23"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80" w:type="dxa"/>
          </w:tcPr>
          <w:p w14:paraId="3BD52EA4"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66" w:type="dxa"/>
          </w:tcPr>
          <w:p w14:paraId="7C6B1EB1"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852" w:type="dxa"/>
          </w:tcPr>
          <w:p w14:paraId="348579B1"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937" w:type="dxa"/>
            <w:shd w:val="clear" w:color="auto" w:fill="BFBFBF"/>
          </w:tcPr>
          <w:p w14:paraId="7F9A4BD8"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bl>
    <w:p w14:paraId="469DAFD9" w14:textId="77777777" w:rsidR="00EA37BF" w:rsidRPr="004C0798" w:rsidRDefault="00EA37BF" w:rsidP="00EA37BF">
      <w:pPr>
        <w:spacing w:after="120" w:line="240" w:lineRule="auto"/>
        <w:rPr>
          <w:rFonts w:asciiTheme="majorHAnsi" w:hAnsiTheme="majorHAnsi" w:cstheme="majorHAnsi"/>
          <w:color w:val="808080" w:themeColor="background1" w:themeShade="80"/>
          <w:sz w:val="20"/>
          <w:szCs w:val="20"/>
        </w:rPr>
      </w:pPr>
    </w:p>
    <w:tbl>
      <w:tblPr>
        <w:tblW w:w="652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567"/>
        <w:gridCol w:w="709"/>
        <w:gridCol w:w="567"/>
        <w:gridCol w:w="567"/>
        <w:gridCol w:w="708"/>
        <w:gridCol w:w="709"/>
        <w:gridCol w:w="557"/>
        <w:gridCol w:w="10"/>
      </w:tblGrid>
      <w:tr w:rsidR="00EA37BF" w:rsidRPr="004C0798" w14:paraId="4D4B6F57" w14:textId="77777777" w:rsidTr="00861438">
        <w:trPr>
          <w:trHeight w:val="506"/>
        </w:trPr>
        <w:tc>
          <w:tcPr>
            <w:tcW w:w="2127" w:type="dxa"/>
          </w:tcPr>
          <w:p w14:paraId="2A6FEBE7"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Table 8 [AMIF </w:t>
            </w:r>
            <w:proofErr w:type="spellStart"/>
            <w:r w:rsidRPr="004C0798">
              <w:rPr>
                <w:rFonts w:asciiTheme="majorHAnsi" w:eastAsia="Times New Roman" w:hAnsiTheme="majorHAnsi" w:cstheme="majorHAnsi"/>
                <w:b/>
                <w:color w:val="808080" w:themeColor="background1" w:themeShade="80"/>
                <w:sz w:val="20"/>
                <w:szCs w:val="20"/>
              </w:rPr>
              <w:t>only</w:t>
            </w:r>
            <w:proofErr w:type="spellEnd"/>
            <w:r w:rsidRPr="004C0798">
              <w:rPr>
                <w:rFonts w:asciiTheme="majorHAnsi" w:eastAsia="Times New Roman" w:hAnsiTheme="majorHAnsi" w:cstheme="majorHAnsi"/>
                <w:b/>
                <w:color w:val="808080" w:themeColor="background1" w:themeShade="80"/>
                <w:sz w:val="20"/>
                <w:szCs w:val="20"/>
              </w:rPr>
              <w:t>]</w:t>
            </w:r>
          </w:p>
        </w:tc>
        <w:tc>
          <w:tcPr>
            <w:tcW w:w="4394" w:type="dxa"/>
            <w:gridSpan w:val="8"/>
          </w:tcPr>
          <w:p w14:paraId="22B9CF1E" w14:textId="77777777" w:rsidR="00EA37BF" w:rsidRPr="004C0798" w:rsidRDefault="00EA37BF"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Number</w:t>
            </w:r>
            <w:proofErr w:type="spellEnd"/>
            <w:r w:rsidRPr="004C0798">
              <w:rPr>
                <w:rFonts w:asciiTheme="majorHAnsi" w:eastAsia="Times New Roman" w:hAnsiTheme="majorHAnsi" w:cstheme="majorHAnsi"/>
                <w:b/>
                <w:color w:val="808080" w:themeColor="background1" w:themeShade="80"/>
                <w:sz w:val="20"/>
                <w:szCs w:val="20"/>
              </w:rPr>
              <w:t xml:space="preserve"> of </w:t>
            </w:r>
            <w:proofErr w:type="spellStart"/>
            <w:r w:rsidRPr="004C0798">
              <w:rPr>
                <w:rFonts w:asciiTheme="majorHAnsi" w:eastAsia="Times New Roman" w:hAnsiTheme="majorHAnsi" w:cstheme="majorHAnsi"/>
                <w:b/>
                <w:color w:val="808080" w:themeColor="background1" w:themeShade="80"/>
                <w:sz w:val="20"/>
                <w:szCs w:val="20"/>
              </w:rPr>
              <w:t>persons</w:t>
            </w:r>
            <w:proofErr w:type="spellEnd"/>
            <w:r w:rsidRPr="004C0798">
              <w:rPr>
                <w:rFonts w:asciiTheme="majorHAnsi" w:eastAsia="Times New Roman" w:hAnsiTheme="majorHAnsi" w:cstheme="majorHAnsi"/>
                <w:b/>
                <w:color w:val="808080" w:themeColor="background1" w:themeShade="80"/>
                <w:sz w:val="20"/>
                <w:szCs w:val="20"/>
              </w:rPr>
              <w:t xml:space="preserve"> per </w:t>
            </w:r>
            <w:proofErr w:type="spellStart"/>
            <w:r w:rsidRPr="004C0798">
              <w:rPr>
                <w:rFonts w:asciiTheme="majorHAnsi" w:eastAsia="Times New Roman" w:hAnsiTheme="majorHAnsi" w:cstheme="majorHAnsi"/>
                <w:b/>
                <w:color w:val="808080" w:themeColor="background1" w:themeShade="80"/>
                <w:sz w:val="20"/>
                <w:szCs w:val="20"/>
              </w:rPr>
              <w:t>year</w:t>
            </w:r>
            <w:proofErr w:type="spellEnd"/>
          </w:p>
        </w:tc>
      </w:tr>
      <w:tr w:rsidR="00EA37BF" w:rsidRPr="004C0798" w14:paraId="5CD752AF" w14:textId="77777777" w:rsidTr="00861438">
        <w:trPr>
          <w:gridAfter w:val="1"/>
          <w:wAfter w:w="10" w:type="dxa"/>
        </w:trPr>
        <w:tc>
          <w:tcPr>
            <w:tcW w:w="2127" w:type="dxa"/>
          </w:tcPr>
          <w:p w14:paraId="61FB3458" w14:textId="77777777" w:rsidR="00EA37BF" w:rsidRPr="004C0798" w:rsidRDefault="00EA37BF"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Category</w:t>
            </w:r>
            <w:proofErr w:type="spellEnd"/>
          </w:p>
        </w:tc>
        <w:tc>
          <w:tcPr>
            <w:tcW w:w="567" w:type="dxa"/>
          </w:tcPr>
          <w:p w14:paraId="7D1408B4" w14:textId="77777777" w:rsidR="00EA37BF" w:rsidRPr="004C0798" w:rsidRDefault="00EA37BF"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2021</w:t>
            </w:r>
          </w:p>
        </w:tc>
        <w:tc>
          <w:tcPr>
            <w:tcW w:w="709" w:type="dxa"/>
          </w:tcPr>
          <w:p w14:paraId="049EE172" w14:textId="77777777" w:rsidR="00EA37BF" w:rsidRPr="004C0798" w:rsidRDefault="00EA37BF"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2022</w:t>
            </w:r>
          </w:p>
        </w:tc>
        <w:tc>
          <w:tcPr>
            <w:tcW w:w="567" w:type="dxa"/>
          </w:tcPr>
          <w:p w14:paraId="5E3B9639" w14:textId="77777777" w:rsidR="00EA37BF" w:rsidRPr="004C0798" w:rsidRDefault="00EA37BF"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2023</w:t>
            </w:r>
          </w:p>
        </w:tc>
        <w:tc>
          <w:tcPr>
            <w:tcW w:w="567" w:type="dxa"/>
          </w:tcPr>
          <w:p w14:paraId="2EFEF14F" w14:textId="77777777" w:rsidR="00EA37BF" w:rsidRPr="004C0798" w:rsidRDefault="00EA37BF"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2024</w:t>
            </w:r>
          </w:p>
        </w:tc>
        <w:tc>
          <w:tcPr>
            <w:tcW w:w="708" w:type="dxa"/>
          </w:tcPr>
          <w:p w14:paraId="057C2D0F" w14:textId="77777777" w:rsidR="00EA37BF" w:rsidRPr="004C0798" w:rsidRDefault="00EA37BF"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2025</w:t>
            </w:r>
          </w:p>
        </w:tc>
        <w:tc>
          <w:tcPr>
            <w:tcW w:w="709" w:type="dxa"/>
          </w:tcPr>
          <w:p w14:paraId="07D94543" w14:textId="77777777" w:rsidR="00EA37BF" w:rsidRPr="004C0798" w:rsidRDefault="00EA37BF"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2026</w:t>
            </w:r>
          </w:p>
        </w:tc>
        <w:tc>
          <w:tcPr>
            <w:tcW w:w="557" w:type="dxa"/>
          </w:tcPr>
          <w:p w14:paraId="3542C048" w14:textId="77777777" w:rsidR="00EA37BF" w:rsidRPr="004C0798" w:rsidRDefault="00EA37BF"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2027</w:t>
            </w:r>
          </w:p>
        </w:tc>
      </w:tr>
      <w:tr w:rsidR="00EA37BF" w:rsidRPr="004C0798" w14:paraId="059E57A5" w14:textId="77777777" w:rsidTr="00861438">
        <w:trPr>
          <w:gridAfter w:val="1"/>
          <w:wAfter w:w="10" w:type="dxa"/>
        </w:trPr>
        <w:tc>
          <w:tcPr>
            <w:tcW w:w="2127" w:type="dxa"/>
          </w:tcPr>
          <w:p w14:paraId="4B8BFD2F"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Resettlement</w:t>
            </w:r>
            <w:proofErr w:type="spellEnd"/>
          </w:p>
        </w:tc>
        <w:tc>
          <w:tcPr>
            <w:tcW w:w="567" w:type="dxa"/>
          </w:tcPr>
          <w:p w14:paraId="547CC658"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709" w:type="dxa"/>
          </w:tcPr>
          <w:p w14:paraId="51D208BE"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567" w:type="dxa"/>
          </w:tcPr>
          <w:p w14:paraId="01A634A6"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567" w:type="dxa"/>
          </w:tcPr>
          <w:p w14:paraId="603E6CB0"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708" w:type="dxa"/>
          </w:tcPr>
          <w:p w14:paraId="55DC9878"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709" w:type="dxa"/>
          </w:tcPr>
          <w:p w14:paraId="0AD2148E"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557" w:type="dxa"/>
          </w:tcPr>
          <w:p w14:paraId="386B40B6"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r w:rsidR="00EA37BF" w:rsidRPr="004C0798" w14:paraId="757B47CD" w14:textId="77777777" w:rsidTr="00861438">
        <w:trPr>
          <w:gridAfter w:val="1"/>
          <w:wAfter w:w="10" w:type="dxa"/>
        </w:trPr>
        <w:tc>
          <w:tcPr>
            <w:tcW w:w="2127" w:type="dxa"/>
          </w:tcPr>
          <w:p w14:paraId="2694FA08"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Humanitarian</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admission</w:t>
            </w:r>
            <w:proofErr w:type="spellEnd"/>
          </w:p>
        </w:tc>
        <w:tc>
          <w:tcPr>
            <w:tcW w:w="567" w:type="dxa"/>
          </w:tcPr>
          <w:p w14:paraId="3C48DB60"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709" w:type="dxa"/>
          </w:tcPr>
          <w:p w14:paraId="5214BCE1"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567" w:type="dxa"/>
          </w:tcPr>
          <w:p w14:paraId="009ED6C3"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567" w:type="dxa"/>
          </w:tcPr>
          <w:p w14:paraId="68A1B434"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708" w:type="dxa"/>
          </w:tcPr>
          <w:p w14:paraId="1E8B2608"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709" w:type="dxa"/>
          </w:tcPr>
          <w:p w14:paraId="5B3EB880"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557" w:type="dxa"/>
          </w:tcPr>
          <w:p w14:paraId="1038FE2A"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r w:rsidR="00EA37BF" w:rsidRPr="004C0798" w14:paraId="2916C842" w14:textId="77777777" w:rsidTr="00861438">
        <w:trPr>
          <w:gridAfter w:val="1"/>
          <w:wAfter w:w="10" w:type="dxa"/>
        </w:trPr>
        <w:tc>
          <w:tcPr>
            <w:tcW w:w="2127" w:type="dxa"/>
          </w:tcPr>
          <w:p w14:paraId="157E8CAB"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w:t>
            </w:r>
            <w:proofErr w:type="spellStart"/>
            <w:r w:rsidRPr="004C0798">
              <w:rPr>
                <w:rFonts w:asciiTheme="majorHAnsi" w:hAnsiTheme="majorHAnsi" w:cstheme="majorHAnsi"/>
                <w:color w:val="808080" w:themeColor="background1" w:themeShade="80"/>
                <w:sz w:val="20"/>
                <w:szCs w:val="20"/>
              </w:rPr>
              <w:t>other</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categories</w:t>
            </w:r>
            <w:proofErr w:type="spellEnd"/>
            <w:r w:rsidRPr="004C0798">
              <w:rPr>
                <w:rFonts w:asciiTheme="majorHAnsi" w:hAnsiTheme="majorHAnsi" w:cstheme="majorHAnsi"/>
                <w:color w:val="808080" w:themeColor="background1" w:themeShade="80"/>
                <w:sz w:val="20"/>
                <w:szCs w:val="20"/>
              </w:rPr>
              <w:t>]</w:t>
            </w:r>
          </w:p>
        </w:tc>
        <w:tc>
          <w:tcPr>
            <w:tcW w:w="567" w:type="dxa"/>
          </w:tcPr>
          <w:p w14:paraId="32E74614"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709" w:type="dxa"/>
          </w:tcPr>
          <w:p w14:paraId="6D782B74"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567" w:type="dxa"/>
          </w:tcPr>
          <w:p w14:paraId="3627F834"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567" w:type="dxa"/>
          </w:tcPr>
          <w:p w14:paraId="3669AE7F"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708" w:type="dxa"/>
          </w:tcPr>
          <w:p w14:paraId="0F57FC2E"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709" w:type="dxa"/>
          </w:tcPr>
          <w:p w14:paraId="3D723379"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557" w:type="dxa"/>
          </w:tcPr>
          <w:p w14:paraId="612D7CBA"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bl>
    <w:p w14:paraId="6A0D59E6" w14:textId="77777777" w:rsidR="00EA37BF" w:rsidRPr="004C0798" w:rsidRDefault="00EA37BF" w:rsidP="00EA37BF">
      <w:pPr>
        <w:spacing w:after="120" w:line="240" w:lineRule="auto"/>
        <w:rPr>
          <w:rFonts w:asciiTheme="majorHAnsi" w:hAnsiTheme="majorHAnsi" w:cstheme="majorHAnsi"/>
          <w:b/>
          <w:i/>
          <w:color w:val="808080" w:themeColor="background1" w:themeShade="80"/>
          <w:sz w:val="20"/>
          <w:szCs w:val="20"/>
          <w:u w:val="single"/>
        </w:rPr>
      </w:pPr>
      <w:r w:rsidRPr="004C0798">
        <w:rPr>
          <w:rFonts w:asciiTheme="majorHAnsi" w:hAnsiTheme="majorHAnsi" w:cstheme="majorHAnsi"/>
          <w:b/>
          <w:i/>
          <w:color w:val="808080" w:themeColor="background1" w:themeShade="80"/>
          <w:sz w:val="20"/>
          <w:szCs w:val="20"/>
          <w:u w:val="single"/>
        </w:rPr>
        <w:t>[</w:t>
      </w:r>
      <w:r w:rsidRPr="004C0798">
        <w:rPr>
          <w:rFonts w:asciiTheme="majorHAnsi" w:hAnsiTheme="majorHAnsi" w:cstheme="majorHAnsi"/>
          <w:b/>
          <w:color w:val="808080" w:themeColor="background1" w:themeShade="80"/>
          <w:sz w:val="20"/>
          <w:szCs w:val="20"/>
          <w:u w:val="single"/>
        </w:rPr>
        <w:t xml:space="preserve">Table 8 </w:t>
      </w:r>
      <w:proofErr w:type="spellStart"/>
      <w:r w:rsidRPr="004C0798">
        <w:rPr>
          <w:rFonts w:asciiTheme="majorHAnsi" w:hAnsiTheme="majorHAnsi" w:cstheme="majorHAnsi"/>
          <w:b/>
          <w:color w:val="808080" w:themeColor="background1" w:themeShade="80"/>
          <w:sz w:val="20"/>
          <w:szCs w:val="20"/>
          <w:u w:val="single"/>
        </w:rPr>
        <w:t>Transfers</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between</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shared</w:t>
      </w:r>
      <w:proofErr w:type="spellEnd"/>
      <w:r w:rsidRPr="004C0798">
        <w:rPr>
          <w:rFonts w:asciiTheme="majorHAnsi" w:hAnsiTheme="majorHAnsi" w:cstheme="majorHAnsi"/>
          <w:b/>
          <w:color w:val="808080" w:themeColor="background1" w:themeShade="80"/>
          <w:sz w:val="20"/>
          <w:szCs w:val="20"/>
          <w:u w:val="single"/>
        </w:rPr>
        <w:t xml:space="preserve"> management </w:t>
      </w:r>
      <w:proofErr w:type="spellStart"/>
      <w:r w:rsidRPr="004C0798">
        <w:rPr>
          <w:rFonts w:asciiTheme="majorHAnsi" w:hAnsiTheme="majorHAnsi" w:cstheme="majorHAnsi"/>
          <w:b/>
          <w:color w:val="808080" w:themeColor="background1" w:themeShade="80"/>
          <w:sz w:val="20"/>
          <w:szCs w:val="20"/>
          <w:u w:val="single"/>
        </w:rPr>
        <w:t>funds</w:t>
      </w:r>
      <w:proofErr w:type="spellEnd"/>
      <w:r w:rsidRPr="004C0798">
        <w:rPr>
          <w:rFonts w:asciiTheme="majorHAnsi" w:hAnsiTheme="majorHAnsi" w:cstheme="majorHAnsi"/>
          <w:b/>
          <w:color w:val="808080" w:themeColor="background1" w:themeShade="80"/>
          <w:sz w:val="20"/>
          <w:szCs w:val="20"/>
          <w:u w:val="single"/>
        </w:rPr>
        <w:t>*</w:t>
      </w:r>
      <w:r w:rsidRPr="004C0798">
        <w:rPr>
          <w:rFonts w:asciiTheme="majorHAnsi" w:hAnsiTheme="majorHAnsi" w:cstheme="majorHAnsi"/>
          <w:b/>
          <w:i/>
          <w:color w:val="808080" w:themeColor="background1" w:themeShade="80"/>
          <w:sz w:val="20"/>
          <w:szCs w:val="20"/>
          <w:u w:val="single"/>
        </w:rPr>
        <w: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992"/>
        <w:gridCol w:w="851"/>
        <w:gridCol w:w="850"/>
        <w:gridCol w:w="709"/>
        <w:gridCol w:w="851"/>
        <w:gridCol w:w="850"/>
        <w:gridCol w:w="851"/>
        <w:gridCol w:w="850"/>
      </w:tblGrid>
      <w:tr w:rsidR="00EA37BF" w:rsidRPr="004C0798" w14:paraId="39081E3F" w14:textId="77777777" w:rsidTr="00861438">
        <w:trPr>
          <w:trHeight w:val="695"/>
        </w:trPr>
        <w:tc>
          <w:tcPr>
            <w:tcW w:w="3085" w:type="dxa"/>
            <w:shd w:val="clear" w:color="auto" w:fill="FFFFFF"/>
          </w:tcPr>
          <w:p w14:paraId="1D3EC92A" w14:textId="77777777" w:rsidR="00EA37BF" w:rsidRPr="004C0798" w:rsidRDefault="00EA37BF" w:rsidP="00861438">
            <w:pPr>
              <w:spacing w:after="120" w:line="240" w:lineRule="auto"/>
              <w:ind w:left="1843" w:hanging="1843"/>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Receiving</w:t>
            </w:r>
            <w:proofErr w:type="spellEnd"/>
            <w:r w:rsidRPr="004C0798">
              <w:rPr>
                <w:rFonts w:asciiTheme="majorHAnsi" w:hAnsiTheme="majorHAnsi" w:cstheme="majorHAnsi"/>
                <w:i/>
                <w:color w:val="808080" w:themeColor="background1" w:themeShade="80"/>
                <w:sz w:val="20"/>
                <w:szCs w:val="20"/>
              </w:rPr>
              <w:t xml:space="preserve"> fund / instrument</w:t>
            </w:r>
          </w:p>
          <w:p w14:paraId="0CB8065C" w14:textId="77777777" w:rsidR="00EA37BF" w:rsidRPr="004C0798" w:rsidRDefault="00EA37BF" w:rsidP="00861438">
            <w:pPr>
              <w:spacing w:after="120" w:line="240" w:lineRule="auto"/>
              <w:ind w:left="1843" w:hanging="1843"/>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Transferring</w:t>
            </w:r>
            <w:proofErr w:type="spellEnd"/>
            <w:r w:rsidRPr="004C0798">
              <w:rPr>
                <w:rFonts w:asciiTheme="majorHAnsi" w:hAnsiTheme="majorHAnsi" w:cstheme="majorHAnsi"/>
                <w:i/>
                <w:color w:val="808080" w:themeColor="background1" w:themeShade="80"/>
                <w:sz w:val="20"/>
                <w:szCs w:val="20"/>
              </w:rPr>
              <w:t xml:space="preserve"> fund /</w:t>
            </w:r>
          </w:p>
          <w:p w14:paraId="0AD8B072" w14:textId="77777777" w:rsidR="00EA37BF" w:rsidRPr="004C0798" w:rsidRDefault="00EA37BF" w:rsidP="00861438">
            <w:pPr>
              <w:spacing w:after="120" w:line="240" w:lineRule="auto"/>
              <w:ind w:left="1843" w:hanging="1843"/>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instrument</w:t>
            </w:r>
          </w:p>
        </w:tc>
        <w:tc>
          <w:tcPr>
            <w:tcW w:w="992" w:type="dxa"/>
            <w:shd w:val="clear" w:color="auto" w:fill="FFFFFF"/>
          </w:tcPr>
          <w:p w14:paraId="35F5C1A8" w14:textId="77777777" w:rsidR="00EA37BF" w:rsidRPr="004C0798" w:rsidRDefault="00EA37BF" w:rsidP="00861438">
            <w:pPr>
              <w:spacing w:after="120" w:line="240" w:lineRule="auto"/>
              <w:jc w:val="center"/>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AMIF</w:t>
            </w:r>
          </w:p>
        </w:tc>
        <w:tc>
          <w:tcPr>
            <w:tcW w:w="851" w:type="dxa"/>
            <w:shd w:val="clear" w:color="auto" w:fill="FFFFFF"/>
          </w:tcPr>
          <w:p w14:paraId="3013255F" w14:textId="77777777" w:rsidR="00EA37BF" w:rsidRPr="004C0798" w:rsidRDefault="00EA37BF" w:rsidP="00861438">
            <w:pPr>
              <w:spacing w:after="120" w:line="240" w:lineRule="auto"/>
              <w:jc w:val="center"/>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ISF</w:t>
            </w:r>
          </w:p>
        </w:tc>
        <w:tc>
          <w:tcPr>
            <w:tcW w:w="850" w:type="dxa"/>
            <w:shd w:val="clear" w:color="auto" w:fill="FFFFFF"/>
          </w:tcPr>
          <w:p w14:paraId="698D7118"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BMVI</w:t>
            </w:r>
          </w:p>
        </w:tc>
        <w:tc>
          <w:tcPr>
            <w:tcW w:w="709" w:type="dxa"/>
            <w:shd w:val="clear" w:color="auto" w:fill="FFFFFF"/>
          </w:tcPr>
          <w:p w14:paraId="72389FC6"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ERDF</w:t>
            </w:r>
          </w:p>
        </w:tc>
        <w:tc>
          <w:tcPr>
            <w:tcW w:w="851" w:type="dxa"/>
            <w:shd w:val="clear" w:color="auto" w:fill="FFFFFF"/>
          </w:tcPr>
          <w:p w14:paraId="01566B04"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ESF+</w:t>
            </w:r>
          </w:p>
        </w:tc>
        <w:tc>
          <w:tcPr>
            <w:tcW w:w="850" w:type="dxa"/>
            <w:shd w:val="clear" w:color="auto" w:fill="FFFFFF"/>
          </w:tcPr>
          <w:p w14:paraId="6B542422"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CF</w:t>
            </w:r>
          </w:p>
        </w:tc>
        <w:tc>
          <w:tcPr>
            <w:tcW w:w="851" w:type="dxa"/>
            <w:shd w:val="clear" w:color="auto" w:fill="FFFFFF"/>
          </w:tcPr>
          <w:p w14:paraId="15FB2896"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EMFF</w:t>
            </w:r>
          </w:p>
        </w:tc>
        <w:tc>
          <w:tcPr>
            <w:tcW w:w="850" w:type="dxa"/>
            <w:shd w:val="clear" w:color="auto" w:fill="FFFFFF"/>
          </w:tcPr>
          <w:p w14:paraId="5F50C7A6"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Total </w:t>
            </w:r>
          </w:p>
        </w:tc>
      </w:tr>
      <w:tr w:rsidR="00EA37BF" w:rsidRPr="004C0798" w14:paraId="7A681948" w14:textId="77777777" w:rsidTr="00861438">
        <w:trPr>
          <w:trHeight w:val="428"/>
        </w:trPr>
        <w:tc>
          <w:tcPr>
            <w:tcW w:w="3085" w:type="dxa"/>
            <w:shd w:val="clear" w:color="auto" w:fill="FFFFFF"/>
          </w:tcPr>
          <w:p w14:paraId="077D22CB"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AMIF</w:t>
            </w:r>
          </w:p>
        </w:tc>
        <w:tc>
          <w:tcPr>
            <w:tcW w:w="992" w:type="dxa"/>
            <w:shd w:val="clear" w:color="auto" w:fill="BFBFBF"/>
          </w:tcPr>
          <w:p w14:paraId="66AC794B"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c>
          <w:tcPr>
            <w:tcW w:w="851" w:type="dxa"/>
            <w:shd w:val="clear" w:color="auto" w:fill="FFFFFF"/>
          </w:tcPr>
          <w:p w14:paraId="01B63141"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c>
          <w:tcPr>
            <w:tcW w:w="850" w:type="dxa"/>
            <w:shd w:val="clear" w:color="auto" w:fill="FFFFFF"/>
          </w:tcPr>
          <w:p w14:paraId="458C3985"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c>
          <w:tcPr>
            <w:tcW w:w="709" w:type="dxa"/>
            <w:shd w:val="clear" w:color="auto" w:fill="FFFFFF"/>
          </w:tcPr>
          <w:p w14:paraId="2F8771EB"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c>
          <w:tcPr>
            <w:tcW w:w="851" w:type="dxa"/>
            <w:shd w:val="clear" w:color="auto" w:fill="auto"/>
          </w:tcPr>
          <w:p w14:paraId="7A2A239A"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c>
          <w:tcPr>
            <w:tcW w:w="850" w:type="dxa"/>
            <w:shd w:val="clear" w:color="auto" w:fill="FFFFFF"/>
          </w:tcPr>
          <w:p w14:paraId="3DA4C5FA"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c>
          <w:tcPr>
            <w:tcW w:w="851" w:type="dxa"/>
            <w:shd w:val="clear" w:color="auto" w:fill="FFFFFF"/>
          </w:tcPr>
          <w:p w14:paraId="754BEB8C"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c>
          <w:tcPr>
            <w:tcW w:w="850" w:type="dxa"/>
            <w:shd w:val="clear" w:color="auto" w:fill="FFFFFF"/>
          </w:tcPr>
          <w:p w14:paraId="7C9850FE"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r>
      <w:tr w:rsidR="00EA37BF" w:rsidRPr="004C0798" w14:paraId="4C237049" w14:textId="77777777" w:rsidTr="00861438">
        <w:trPr>
          <w:trHeight w:val="428"/>
        </w:trPr>
        <w:tc>
          <w:tcPr>
            <w:tcW w:w="3085" w:type="dxa"/>
            <w:shd w:val="clear" w:color="auto" w:fill="FFFFFF"/>
          </w:tcPr>
          <w:p w14:paraId="069EC67C"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ISF</w:t>
            </w:r>
          </w:p>
        </w:tc>
        <w:tc>
          <w:tcPr>
            <w:tcW w:w="992" w:type="dxa"/>
            <w:shd w:val="clear" w:color="auto" w:fill="auto"/>
          </w:tcPr>
          <w:p w14:paraId="1431491C"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c>
          <w:tcPr>
            <w:tcW w:w="851" w:type="dxa"/>
            <w:shd w:val="clear" w:color="auto" w:fill="BFBFBF"/>
          </w:tcPr>
          <w:p w14:paraId="41CE6447"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c>
          <w:tcPr>
            <w:tcW w:w="850" w:type="dxa"/>
            <w:shd w:val="clear" w:color="auto" w:fill="FFFFFF"/>
          </w:tcPr>
          <w:p w14:paraId="25E9DEF9"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c>
          <w:tcPr>
            <w:tcW w:w="709" w:type="dxa"/>
            <w:shd w:val="clear" w:color="auto" w:fill="FFFFFF"/>
          </w:tcPr>
          <w:p w14:paraId="181BAE82"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c>
          <w:tcPr>
            <w:tcW w:w="851" w:type="dxa"/>
            <w:shd w:val="clear" w:color="auto" w:fill="FFFFFF"/>
          </w:tcPr>
          <w:p w14:paraId="79025F9B"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c>
          <w:tcPr>
            <w:tcW w:w="850" w:type="dxa"/>
            <w:shd w:val="clear" w:color="auto" w:fill="auto"/>
          </w:tcPr>
          <w:p w14:paraId="6B1AA7DB"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c>
          <w:tcPr>
            <w:tcW w:w="851" w:type="dxa"/>
            <w:shd w:val="clear" w:color="auto" w:fill="FFFFFF"/>
          </w:tcPr>
          <w:p w14:paraId="78A661C9"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c>
          <w:tcPr>
            <w:tcW w:w="850" w:type="dxa"/>
            <w:shd w:val="clear" w:color="auto" w:fill="FFFFFF"/>
          </w:tcPr>
          <w:p w14:paraId="22024525"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r>
      <w:tr w:rsidR="00EA37BF" w:rsidRPr="004C0798" w14:paraId="3675A628" w14:textId="77777777" w:rsidTr="00861438">
        <w:trPr>
          <w:trHeight w:val="428"/>
        </w:trPr>
        <w:tc>
          <w:tcPr>
            <w:tcW w:w="3085" w:type="dxa"/>
            <w:shd w:val="clear" w:color="auto" w:fill="FFFFFF"/>
          </w:tcPr>
          <w:p w14:paraId="0697842E"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BMVI</w:t>
            </w:r>
          </w:p>
        </w:tc>
        <w:tc>
          <w:tcPr>
            <w:tcW w:w="992" w:type="dxa"/>
            <w:shd w:val="clear" w:color="auto" w:fill="auto"/>
          </w:tcPr>
          <w:p w14:paraId="7DB67C26"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c>
          <w:tcPr>
            <w:tcW w:w="851" w:type="dxa"/>
            <w:shd w:val="clear" w:color="auto" w:fill="FFFFFF"/>
          </w:tcPr>
          <w:p w14:paraId="5CC5BAC9"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c>
          <w:tcPr>
            <w:tcW w:w="850" w:type="dxa"/>
            <w:shd w:val="clear" w:color="auto" w:fill="BFBFBF"/>
          </w:tcPr>
          <w:p w14:paraId="289B89F6"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c>
          <w:tcPr>
            <w:tcW w:w="709" w:type="dxa"/>
            <w:shd w:val="clear" w:color="auto" w:fill="FFFFFF"/>
          </w:tcPr>
          <w:p w14:paraId="72086D25"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c>
          <w:tcPr>
            <w:tcW w:w="851" w:type="dxa"/>
            <w:shd w:val="clear" w:color="auto" w:fill="FFFFFF"/>
          </w:tcPr>
          <w:p w14:paraId="485008EC"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c>
          <w:tcPr>
            <w:tcW w:w="850" w:type="dxa"/>
            <w:shd w:val="clear" w:color="auto" w:fill="FFFFFF"/>
          </w:tcPr>
          <w:p w14:paraId="41730F8A"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c>
          <w:tcPr>
            <w:tcW w:w="851" w:type="dxa"/>
            <w:shd w:val="clear" w:color="auto" w:fill="auto"/>
          </w:tcPr>
          <w:p w14:paraId="7627F7BF"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c>
          <w:tcPr>
            <w:tcW w:w="850" w:type="dxa"/>
            <w:shd w:val="clear" w:color="auto" w:fill="FFFFFF"/>
          </w:tcPr>
          <w:p w14:paraId="765859B0"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r>
      <w:tr w:rsidR="00EA37BF" w:rsidRPr="004C0798" w14:paraId="4192A641" w14:textId="77777777" w:rsidTr="00861438">
        <w:trPr>
          <w:trHeight w:val="428"/>
        </w:trPr>
        <w:tc>
          <w:tcPr>
            <w:tcW w:w="3085" w:type="dxa"/>
            <w:shd w:val="clear" w:color="auto" w:fill="FFFFFF"/>
          </w:tcPr>
          <w:p w14:paraId="5A7411B0"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Total</w:t>
            </w:r>
          </w:p>
        </w:tc>
        <w:tc>
          <w:tcPr>
            <w:tcW w:w="992" w:type="dxa"/>
            <w:shd w:val="clear" w:color="auto" w:fill="auto"/>
          </w:tcPr>
          <w:p w14:paraId="31D77FE1"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c>
          <w:tcPr>
            <w:tcW w:w="851" w:type="dxa"/>
            <w:shd w:val="clear" w:color="auto" w:fill="FFFFFF"/>
          </w:tcPr>
          <w:p w14:paraId="3351A6A4"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c>
          <w:tcPr>
            <w:tcW w:w="850" w:type="dxa"/>
            <w:shd w:val="clear" w:color="auto" w:fill="FFFFFF"/>
          </w:tcPr>
          <w:p w14:paraId="5E72BB7E"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c>
          <w:tcPr>
            <w:tcW w:w="709" w:type="dxa"/>
            <w:shd w:val="clear" w:color="auto" w:fill="FFFFFF"/>
          </w:tcPr>
          <w:p w14:paraId="728FA969"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c>
          <w:tcPr>
            <w:tcW w:w="851" w:type="dxa"/>
            <w:shd w:val="clear" w:color="auto" w:fill="FFFFFF"/>
          </w:tcPr>
          <w:p w14:paraId="0C631CC8"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c>
          <w:tcPr>
            <w:tcW w:w="850" w:type="dxa"/>
            <w:shd w:val="clear" w:color="auto" w:fill="FFFFFF"/>
          </w:tcPr>
          <w:p w14:paraId="5153CD0B"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c>
          <w:tcPr>
            <w:tcW w:w="851" w:type="dxa"/>
            <w:shd w:val="clear" w:color="auto" w:fill="auto"/>
          </w:tcPr>
          <w:p w14:paraId="16EDF52B"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c>
          <w:tcPr>
            <w:tcW w:w="850" w:type="dxa"/>
            <w:shd w:val="clear" w:color="auto" w:fill="auto"/>
          </w:tcPr>
          <w:p w14:paraId="41E321C0"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r>
    </w:tbl>
    <w:p w14:paraId="3200EDD8" w14:textId="77777777" w:rsidR="00EA37BF" w:rsidRPr="004C0798" w:rsidRDefault="00EA37BF" w:rsidP="00EA37BF">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 Cumulative </w:t>
      </w:r>
      <w:proofErr w:type="spellStart"/>
      <w:r w:rsidRPr="004C0798">
        <w:rPr>
          <w:rFonts w:asciiTheme="majorHAnsi" w:hAnsiTheme="majorHAnsi" w:cstheme="majorHAnsi"/>
          <w:i/>
          <w:color w:val="808080" w:themeColor="background1" w:themeShade="80"/>
          <w:sz w:val="20"/>
          <w:szCs w:val="20"/>
        </w:rPr>
        <w:t>amounts</w:t>
      </w:r>
      <w:proofErr w:type="spellEnd"/>
      <w:r w:rsidRPr="004C0798">
        <w:rPr>
          <w:rFonts w:asciiTheme="majorHAnsi" w:hAnsiTheme="majorHAnsi" w:cstheme="majorHAnsi"/>
          <w:i/>
          <w:color w:val="808080" w:themeColor="background1" w:themeShade="80"/>
          <w:sz w:val="20"/>
          <w:szCs w:val="20"/>
        </w:rPr>
        <w:t xml:space="preserve"> for </w:t>
      </w:r>
      <w:proofErr w:type="spellStart"/>
      <w:r w:rsidRPr="004C0798">
        <w:rPr>
          <w:rFonts w:asciiTheme="majorHAnsi" w:hAnsiTheme="majorHAnsi" w:cstheme="majorHAnsi"/>
          <w:i/>
          <w:color w:val="808080" w:themeColor="background1" w:themeShade="80"/>
          <w:sz w:val="20"/>
          <w:szCs w:val="20"/>
        </w:rPr>
        <w:t>all</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transfers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during</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programming</w:t>
      </w:r>
      <w:proofErr w:type="spellEnd"/>
      <w:r w:rsidRPr="004C0798">
        <w:rPr>
          <w:rFonts w:asciiTheme="majorHAnsi" w:hAnsiTheme="majorHAnsi" w:cstheme="majorHAnsi"/>
          <w:i/>
          <w:color w:val="808080" w:themeColor="background1" w:themeShade="80"/>
          <w:sz w:val="20"/>
          <w:szCs w:val="20"/>
        </w:rPr>
        <w:t xml:space="preserve"> period.</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97"/>
        <w:gridCol w:w="3431"/>
      </w:tblGrid>
      <w:tr w:rsidR="00EA37BF" w:rsidRPr="004C0798" w14:paraId="03736D94" w14:textId="77777777" w:rsidTr="00861438">
        <w:tc>
          <w:tcPr>
            <w:tcW w:w="6197" w:type="dxa"/>
          </w:tcPr>
          <w:p w14:paraId="68B15653"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[Table 9 </w:t>
            </w:r>
            <w:proofErr w:type="spellStart"/>
            <w:r w:rsidRPr="004C0798">
              <w:rPr>
                <w:rFonts w:asciiTheme="majorHAnsi" w:hAnsiTheme="majorHAnsi" w:cstheme="majorHAnsi"/>
                <w:i/>
                <w:color w:val="808080" w:themeColor="background1" w:themeShade="80"/>
                <w:sz w:val="20"/>
                <w:szCs w:val="20"/>
              </w:rPr>
              <w:t>Transfers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instruments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under</w:t>
            </w:r>
            <w:proofErr w:type="spellEnd"/>
            <w:r w:rsidRPr="004C0798">
              <w:rPr>
                <w:rFonts w:asciiTheme="majorHAnsi" w:hAnsiTheme="majorHAnsi" w:cstheme="majorHAnsi"/>
                <w:i/>
                <w:color w:val="808080" w:themeColor="background1" w:themeShade="80"/>
                <w:sz w:val="20"/>
                <w:szCs w:val="20"/>
              </w:rPr>
              <w:t xml:space="preserve"> direct or indirect management*]</w:t>
            </w:r>
          </w:p>
        </w:tc>
        <w:tc>
          <w:tcPr>
            <w:tcW w:w="3431" w:type="dxa"/>
          </w:tcPr>
          <w:p w14:paraId="7649ACB4"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Transfer </w:t>
            </w:r>
            <w:proofErr w:type="spellStart"/>
            <w:r w:rsidRPr="004C0798">
              <w:rPr>
                <w:rFonts w:asciiTheme="majorHAnsi" w:hAnsiTheme="majorHAnsi" w:cstheme="majorHAnsi"/>
                <w:i/>
                <w:color w:val="808080" w:themeColor="background1" w:themeShade="80"/>
                <w:sz w:val="20"/>
                <w:szCs w:val="20"/>
              </w:rPr>
              <w:t>amount</w:t>
            </w:r>
            <w:proofErr w:type="spellEnd"/>
            <w:r w:rsidRPr="004C0798">
              <w:rPr>
                <w:rFonts w:asciiTheme="majorHAnsi" w:hAnsiTheme="majorHAnsi" w:cstheme="majorHAnsi"/>
                <w:i/>
                <w:color w:val="808080" w:themeColor="background1" w:themeShade="80"/>
                <w:sz w:val="20"/>
                <w:szCs w:val="20"/>
              </w:rPr>
              <w:t xml:space="preserve"> </w:t>
            </w:r>
          </w:p>
        </w:tc>
      </w:tr>
      <w:tr w:rsidR="00EA37BF" w:rsidRPr="004C0798" w14:paraId="46AFC206" w14:textId="77777777" w:rsidTr="00861438">
        <w:tc>
          <w:tcPr>
            <w:tcW w:w="6197" w:type="dxa"/>
          </w:tcPr>
          <w:p w14:paraId="7E3F87BA"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Instrument 1[</w:t>
            </w:r>
            <w:proofErr w:type="spellStart"/>
            <w:r w:rsidRPr="004C0798">
              <w:rPr>
                <w:rFonts w:asciiTheme="majorHAnsi" w:hAnsiTheme="majorHAnsi" w:cstheme="majorHAnsi"/>
                <w:i/>
                <w:color w:val="808080" w:themeColor="background1" w:themeShade="80"/>
                <w:sz w:val="20"/>
                <w:szCs w:val="20"/>
              </w:rPr>
              <w:t>name</w:t>
            </w:r>
            <w:proofErr w:type="spellEnd"/>
            <w:r w:rsidRPr="004C0798">
              <w:rPr>
                <w:rFonts w:asciiTheme="majorHAnsi" w:hAnsiTheme="majorHAnsi" w:cstheme="majorHAnsi"/>
                <w:i/>
                <w:color w:val="808080" w:themeColor="background1" w:themeShade="80"/>
                <w:sz w:val="20"/>
                <w:szCs w:val="20"/>
              </w:rPr>
              <w:t>]</w:t>
            </w:r>
          </w:p>
        </w:tc>
        <w:tc>
          <w:tcPr>
            <w:tcW w:w="3431" w:type="dxa"/>
          </w:tcPr>
          <w:p w14:paraId="6646D6EA" w14:textId="77777777" w:rsidR="00EA37BF" w:rsidRPr="004C0798" w:rsidRDefault="00EA37BF" w:rsidP="00861438">
            <w:pPr>
              <w:spacing w:after="120" w:line="240" w:lineRule="auto"/>
              <w:rPr>
                <w:rFonts w:asciiTheme="majorHAnsi" w:hAnsiTheme="majorHAnsi" w:cstheme="majorHAnsi"/>
                <w:b/>
                <w:i/>
                <w:color w:val="808080" w:themeColor="background1" w:themeShade="80"/>
                <w:sz w:val="20"/>
                <w:szCs w:val="20"/>
                <w:u w:val="single"/>
              </w:rPr>
            </w:pPr>
          </w:p>
        </w:tc>
      </w:tr>
      <w:tr w:rsidR="00EA37BF" w:rsidRPr="004C0798" w14:paraId="1E8953F8" w14:textId="77777777" w:rsidTr="00861438">
        <w:tc>
          <w:tcPr>
            <w:tcW w:w="6197" w:type="dxa"/>
          </w:tcPr>
          <w:p w14:paraId="5FB3330C"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Instrument 2[</w:t>
            </w:r>
            <w:proofErr w:type="spellStart"/>
            <w:r w:rsidRPr="004C0798">
              <w:rPr>
                <w:rFonts w:asciiTheme="majorHAnsi" w:hAnsiTheme="majorHAnsi" w:cstheme="majorHAnsi"/>
                <w:i/>
                <w:color w:val="808080" w:themeColor="background1" w:themeShade="80"/>
                <w:sz w:val="20"/>
                <w:szCs w:val="20"/>
              </w:rPr>
              <w:t>name</w:t>
            </w:r>
            <w:proofErr w:type="spellEnd"/>
            <w:r w:rsidRPr="004C0798">
              <w:rPr>
                <w:rFonts w:asciiTheme="majorHAnsi" w:hAnsiTheme="majorHAnsi" w:cstheme="majorHAnsi"/>
                <w:i/>
                <w:color w:val="808080" w:themeColor="background1" w:themeShade="80"/>
                <w:sz w:val="20"/>
                <w:szCs w:val="20"/>
              </w:rPr>
              <w:t>]</w:t>
            </w:r>
          </w:p>
        </w:tc>
        <w:tc>
          <w:tcPr>
            <w:tcW w:w="3431" w:type="dxa"/>
          </w:tcPr>
          <w:p w14:paraId="78BA4F83" w14:textId="77777777" w:rsidR="00EA37BF" w:rsidRPr="004C0798" w:rsidRDefault="00EA37BF" w:rsidP="00861438">
            <w:pPr>
              <w:spacing w:after="120" w:line="240" w:lineRule="auto"/>
              <w:rPr>
                <w:rFonts w:asciiTheme="majorHAnsi" w:hAnsiTheme="majorHAnsi" w:cstheme="majorHAnsi"/>
                <w:b/>
                <w:i/>
                <w:color w:val="808080" w:themeColor="background1" w:themeShade="80"/>
                <w:sz w:val="20"/>
                <w:szCs w:val="20"/>
                <w:u w:val="single"/>
              </w:rPr>
            </w:pPr>
          </w:p>
        </w:tc>
      </w:tr>
      <w:tr w:rsidR="00EA37BF" w:rsidRPr="004C0798" w14:paraId="7C240955" w14:textId="77777777" w:rsidTr="00861438">
        <w:tc>
          <w:tcPr>
            <w:tcW w:w="6197" w:type="dxa"/>
          </w:tcPr>
          <w:p w14:paraId="156722D8"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Total</w:t>
            </w:r>
          </w:p>
        </w:tc>
        <w:tc>
          <w:tcPr>
            <w:tcW w:w="3431" w:type="dxa"/>
          </w:tcPr>
          <w:p w14:paraId="30B07277" w14:textId="77777777" w:rsidR="00EA37BF" w:rsidRPr="004C0798" w:rsidRDefault="00EA37BF" w:rsidP="00861438">
            <w:pPr>
              <w:spacing w:after="120" w:line="240" w:lineRule="auto"/>
              <w:rPr>
                <w:rFonts w:asciiTheme="majorHAnsi" w:hAnsiTheme="majorHAnsi" w:cstheme="majorHAnsi"/>
                <w:b/>
                <w:i/>
                <w:color w:val="808080" w:themeColor="background1" w:themeShade="80"/>
                <w:sz w:val="20"/>
                <w:szCs w:val="20"/>
              </w:rPr>
            </w:pPr>
          </w:p>
        </w:tc>
      </w:tr>
    </w:tbl>
    <w:p w14:paraId="0D86F45F" w14:textId="77777777" w:rsidR="00EA37BF" w:rsidRPr="004C0798" w:rsidRDefault="00EA37BF" w:rsidP="00EA37BF">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 Cumulative </w:t>
      </w:r>
      <w:proofErr w:type="spellStart"/>
      <w:r w:rsidRPr="004C0798">
        <w:rPr>
          <w:rFonts w:asciiTheme="majorHAnsi" w:hAnsiTheme="majorHAnsi" w:cstheme="majorHAnsi"/>
          <w:i/>
          <w:color w:val="808080" w:themeColor="background1" w:themeShade="80"/>
          <w:sz w:val="20"/>
          <w:szCs w:val="20"/>
        </w:rPr>
        <w:t>amounts</w:t>
      </w:r>
      <w:proofErr w:type="spellEnd"/>
      <w:r w:rsidRPr="004C0798">
        <w:rPr>
          <w:rFonts w:asciiTheme="majorHAnsi" w:hAnsiTheme="majorHAnsi" w:cstheme="majorHAnsi"/>
          <w:i/>
          <w:color w:val="808080" w:themeColor="background1" w:themeShade="80"/>
          <w:sz w:val="20"/>
          <w:szCs w:val="20"/>
        </w:rPr>
        <w:t xml:space="preserve"> for </w:t>
      </w:r>
      <w:proofErr w:type="spellStart"/>
      <w:r w:rsidRPr="004C0798">
        <w:rPr>
          <w:rFonts w:asciiTheme="majorHAnsi" w:hAnsiTheme="majorHAnsi" w:cstheme="majorHAnsi"/>
          <w:i/>
          <w:color w:val="808080" w:themeColor="background1" w:themeShade="80"/>
          <w:sz w:val="20"/>
          <w:szCs w:val="20"/>
        </w:rPr>
        <w:t>all</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transfers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during</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programming</w:t>
      </w:r>
      <w:proofErr w:type="spellEnd"/>
      <w:r w:rsidRPr="004C0798">
        <w:rPr>
          <w:rFonts w:asciiTheme="majorHAnsi" w:hAnsiTheme="majorHAnsi" w:cstheme="majorHAnsi"/>
          <w:i/>
          <w:color w:val="808080" w:themeColor="background1" w:themeShade="80"/>
          <w:sz w:val="20"/>
          <w:szCs w:val="20"/>
        </w:rPr>
        <w:t xml:space="preserve"> period</w:t>
      </w:r>
    </w:p>
    <w:p w14:paraId="0D59A8F9" w14:textId="77777777" w:rsidR="00EA37BF" w:rsidRPr="004C0798" w:rsidRDefault="00EA37BF" w:rsidP="00EA37BF">
      <w:pPr>
        <w:spacing w:after="120" w:line="240" w:lineRule="auto"/>
        <w:ind w:left="720"/>
        <w:rPr>
          <w:rFonts w:asciiTheme="majorHAnsi" w:hAnsiTheme="majorHAnsi" w:cstheme="majorHAnsi"/>
          <w:b/>
          <w:color w:val="808080" w:themeColor="background1" w:themeShade="80"/>
          <w:sz w:val="20"/>
          <w:szCs w:val="20"/>
        </w:rPr>
      </w:pPr>
    </w:p>
    <w:p w14:paraId="43B3FE5F" w14:textId="77777777" w:rsidR="00EA37BF" w:rsidRPr="004C0798" w:rsidRDefault="00EA37BF" w:rsidP="00EA37BF">
      <w:pPr>
        <w:numPr>
          <w:ilvl w:val="0"/>
          <w:numId w:val="10"/>
        </w:numPr>
        <w:spacing w:after="120" w:line="240" w:lineRule="auto"/>
        <w:jc w:val="both"/>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Enabling</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conditions</w:t>
      </w:r>
      <w:proofErr w:type="spellEnd"/>
      <w:r w:rsidRPr="004C0798">
        <w:rPr>
          <w:rFonts w:asciiTheme="majorHAnsi" w:hAnsiTheme="majorHAnsi" w:cstheme="majorHAnsi"/>
          <w:b/>
          <w:color w:val="808080" w:themeColor="background1" w:themeShade="80"/>
          <w:sz w:val="20"/>
          <w:szCs w:val="20"/>
        </w:rPr>
        <w:t xml:space="preserve"> </w:t>
      </w:r>
    </w:p>
    <w:p w14:paraId="6B3258E7" w14:textId="77777777" w:rsidR="00EA37BF" w:rsidRPr="004C0798" w:rsidRDefault="00EA37BF" w:rsidP="00EA37BF">
      <w:pPr>
        <w:spacing w:after="120" w:line="240" w:lineRule="auto"/>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Reference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17(3)(h)</w:t>
      </w:r>
    </w:p>
    <w:tbl>
      <w:tblPr>
        <w:tblW w:w="9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701"/>
        <w:gridCol w:w="1120"/>
        <w:gridCol w:w="1296"/>
        <w:gridCol w:w="1688"/>
        <w:gridCol w:w="1483"/>
      </w:tblGrid>
      <w:tr w:rsidR="00EA37BF" w:rsidRPr="004C0798" w14:paraId="070C7A92" w14:textId="77777777" w:rsidTr="00861438">
        <w:tc>
          <w:tcPr>
            <w:tcW w:w="9523" w:type="dxa"/>
            <w:gridSpan w:val="6"/>
          </w:tcPr>
          <w:p w14:paraId="05898052"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Table </w:t>
            </w:r>
            <w:r w:rsidRPr="004C0798">
              <w:rPr>
                <w:rFonts w:asciiTheme="majorHAnsi" w:eastAsia="Times New Roman" w:hAnsiTheme="majorHAnsi" w:cstheme="majorHAnsi"/>
                <w:b/>
                <w:i/>
                <w:color w:val="808080" w:themeColor="background1" w:themeShade="80"/>
                <w:sz w:val="20"/>
                <w:szCs w:val="20"/>
              </w:rPr>
              <w:t>10</w:t>
            </w:r>
          </w:p>
        </w:tc>
      </w:tr>
      <w:tr w:rsidR="00EA37BF" w:rsidRPr="004C0798" w14:paraId="406A1EC1" w14:textId="77777777" w:rsidTr="00861438">
        <w:tc>
          <w:tcPr>
            <w:tcW w:w="2235" w:type="dxa"/>
          </w:tcPr>
          <w:p w14:paraId="04C6F009" w14:textId="77777777" w:rsidR="00EA37BF" w:rsidRPr="004C0798" w:rsidRDefault="00EA37BF"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Enabling</w:t>
            </w:r>
            <w:proofErr w:type="spellEnd"/>
            <w:r w:rsidRPr="004C0798">
              <w:rPr>
                <w:rFonts w:asciiTheme="majorHAnsi" w:eastAsia="Times New Roman" w:hAnsiTheme="majorHAnsi" w:cstheme="majorHAnsi"/>
                <w:b/>
                <w:color w:val="808080" w:themeColor="background1" w:themeShade="80"/>
                <w:sz w:val="20"/>
                <w:szCs w:val="20"/>
              </w:rPr>
              <w:t xml:space="preserve"> </w:t>
            </w:r>
            <w:proofErr w:type="spellStart"/>
            <w:r w:rsidRPr="004C0798">
              <w:rPr>
                <w:rFonts w:asciiTheme="majorHAnsi" w:eastAsia="Times New Roman" w:hAnsiTheme="majorHAnsi" w:cstheme="majorHAnsi"/>
                <w:b/>
                <w:color w:val="808080" w:themeColor="background1" w:themeShade="80"/>
                <w:sz w:val="20"/>
                <w:szCs w:val="20"/>
              </w:rPr>
              <w:t>condition</w:t>
            </w:r>
            <w:proofErr w:type="spellEnd"/>
          </w:p>
        </w:tc>
        <w:tc>
          <w:tcPr>
            <w:tcW w:w="1701" w:type="dxa"/>
          </w:tcPr>
          <w:p w14:paraId="5EF33733" w14:textId="77777777" w:rsidR="00EA37BF" w:rsidRPr="004C0798" w:rsidRDefault="00EA37BF"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Fulfilment</w:t>
            </w:r>
            <w:proofErr w:type="spellEnd"/>
            <w:r w:rsidRPr="004C0798">
              <w:rPr>
                <w:rFonts w:asciiTheme="majorHAnsi" w:eastAsia="Times New Roman" w:hAnsiTheme="majorHAnsi" w:cstheme="majorHAnsi"/>
                <w:b/>
                <w:color w:val="808080" w:themeColor="background1" w:themeShade="80"/>
                <w:sz w:val="20"/>
                <w:szCs w:val="20"/>
              </w:rPr>
              <w:t xml:space="preserve"> of </w:t>
            </w:r>
            <w:proofErr w:type="spellStart"/>
            <w:r w:rsidRPr="004C0798">
              <w:rPr>
                <w:rFonts w:asciiTheme="majorHAnsi" w:eastAsia="Times New Roman" w:hAnsiTheme="majorHAnsi" w:cstheme="majorHAnsi"/>
                <w:b/>
                <w:color w:val="808080" w:themeColor="background1" w:themeShade="80"/>
                <w:sz w:val="20"/>
                <w:szCs w:val="20"/>
              </w:rPr>
              <w:t>enabling</w:t>
            </w:r>
            <w:proofErr w:type="spellEnd"/>
            <w:r w:rsidRPr="004C0798">
              <w:rPr>
                <w:rFonts w:asciiTheme="majorHAnsi" w:eastAsia="Times New Roman" w:hAnsiTheme="majorHAnsi" w:cstheme="majorHAnsi"/>
                <w:b/>
                <w:color w:val="808080" w:themeColor="background1" w:themeShade="80"/>
                <w:sz w:val="20"/>
                <w:szCs w:val="20"/>
              </w:rPr>
              <w:t xml:space="preserve"> </w:t>
            </w:r>
            <w:proofErr w:type="spellStart"/>
            <w:r w:rsidRPr="004C0798">
              <w:rPr>
                <w:rFonts w:asciiTheme="majorHAnsi" w:eastAsia="Times New Roman" w:hAnsiTheme="majorHAnsi" w:cstheme="majorHAnsi"/>
                <w:b/>
                <w:color w:val="808080" w:themeColor="background1" w:themeShade="80"/>
                <w:sz w:val="20"/>
                <w:szCs w:val="20"/>
              </w:rPr>
              <w:t>condition</w:t>
            </w:r>
            <w:proofErr w:type="spellEnd"/>
            <w:r w:rsidRPr="004C0798">
              <w:rPr>
                <w:rFonts w:asciiTheme="majorHAnsi" w:eastAsia="Times New Roman" w:hAnsiTheme="majorHAnsi" w:cstheme="majorHAnsi"/>
                <w:b/>
                <w:color w:val="808080" w:themeColor="background1" w:themeShade="80"/>
                <w:sz w:val="20"/>
                <w:szCs w:val="20"/>
              </w:rPr>
              <w:t xml:space="preserve"> </w:t>
            </w:r>
          </w:p>
        </w:tc>
        <w:tc>
          <w:tcPr>
            <w:tcW w:w="1120" w:type="dxa"/>
          </w:tcPr>
          <w:p w14:paraId="339986A1" w14:textId="77777777" w:rsidR="00EA37BF" w:rsidRPr="004C0798" w:rsidRDefault="00EA37BF"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Criteria</w:t>
            </w:r>
            <w:proofErr w:type="spellEnd"/>
            <w:r w:rsidRPr="004C0798">
              <w:rPr>
                <w:rFonts w:asciiTheme="majorHAnsi" w:eastAsia="Times New Roman" w:hAnsiTheme="majorHAnsi" w:cstheme="majorHAnsi"/>
                <w:b/>
                <w:color w:val="808080" w:themeColor="background1" w:themeShade="80"/>
                <w:sz w:val="20"/>
                <w:szCs w:val="20"/>
              </w:rPr>
              <w:t xml:space="preserve"> </w:t>
            </w:r>
          </w:p>
        </w:tc>
        <w:tc>
          <w:tcPr>
            <w:tcW w:w="1296" w:type="dxa"/>
          </w:tcPr>
          <w:p w14:paraId="23CEA5EF" w14:textId="77777777" w:rsidR="00EA37BF" w:rsidRPr="004C0798" w:rsidRDefault="00EA37BF"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Fulfilment</w:t>
            </w:r>
            <w:proofErr w:type="spellEnd"/>
            <w:r w:rsidRPr="004C0798">
              <w:rPr>
                <w:rFonts w:asciiTheme="majorHAnsi" w:eastAsia="Times New Roman" w:hAnsiTheme="majorHAnsi" w:cstheme="majorHAnsi"/>
                <w:b/>
                <w:color w:val="808080" w:themeColor="background1" w:themeShade="80"/>
                <w:sz w:val="20"/>
                <w:szCs w:val="20"/>
              </w:rPr>
              <w:t xml:space="preserve"> of </w:t>
            </w:r>
            <w:proofErr w:type="spellStart"/>
            <w:r w:rsidRPr="004C0798">
              <w:rPr>
                <w:rFonts w:asciiTheme="majorHAnsi" w:eastAsia="Times New Roman" w:hAnsiTheme="majorHAnsi" w:cstheme="majorHAnsi"/>
                <w:b/>
                <w:color w:val="808080" w:themeColor="background1" w:themeShade="80"/>
                <w:sz w:val="20"/>
                <w:szCs w:val="20"/>
              </w:rPr>
              <w:t>criteria</w:t>
            </w:r>
            <w:proofErr w:type="spellEnd"/>
            <w:r w:rsidRPr="004C0798">
              <w:rPr>
                <w:rFonts w:asciiTheme="majorHAnsi" w:eastAsia="Times New Roman" w:hAnsiTheme="majorHAnsi" w:cstheme="majorHAnsi"/>
                <w:b/>
                <w:color w:val="808080" w:themeColor="background1" w:themeShade="80"/>
                <w:sz w:val="20"/>
                <w:szCs w:val="20"/>
              </w:rPr>
              <w:t xml:space="preserve"> </w:t>
            </w:r>
          </w:p>
        </w:tc>
        <w:tc>
          <w:tcPr>
            <w:tcW w:w="1688" w:type="dxa"/>
          </w:tcPr>
          <w:p w14:paraId="49C07453" w14:textId="77777777" w:rsidR="00EA37BF" w:rsidRPr="004C0798" w:rsidRDefault="00EA37BF"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Reference</w:t>
            </w:r>
            <w:proofErr w:type="spellEnd"/>
            <w:r w:rsidRPr="004C0798">
              <w:rPr>
                <w:rFonts w:asciiTheme="majorHAnsi" w:eastAsia="Times New Roman" w:hAnsiTheme="majorHAnsi" w:cstheme="majorHAnsi"/>
                <w:b/>
                <w:color w:val="808080" w:themeColor="background1" w:themeShade="80"/>
                <w:sz w:val="20"/>
                <w:szCs w:val="20"/>
              </w:rPr>
              <w:t xml:space="preserve"> </w:t>
            </w:r>
            <w:proofErr w:type="spellStart"/>
            <w:r w:rsidRPr="004C0798">
              <w:rPr>
                <w:rFonts w:asciiTheme="majorHAnsi" w:eastAsia="Times New Roman" w:hAnsiTheme="majorHAnsi" w:cstheme="majorHAnsi"/>
                <w:b/>
                <w:color w:val="808080" w:themeColor="background1" w:themeShade="80"/>
                <w:sz w:val="20"/>
                <w:szCs w:val="20"/>
              </w:rPr>
              <w:t>to</w:t>
            </w:r>
            <w:proofErr w:type="spellEnd"/>
            <w:r w:rsidRPr="004C0798">
              <w:rPr>
                <w:rFonts w:asciiTheme="majorHAnsi" w:eastAsia="Times New Roman" w:hAnsiTheme="majorHAnsi" w:cstheme="majorHAnsi"/>
                <w:b/>
                <w:color w:val="808080" w:themeColor="background1" w:themeShade="80"/>
                <w:sz w:val="20"/>
                <w:szCs w:val="20"/>
              </w:rPr>
              <w:t xml:space="preserve"> relevant </w:t>
            </w:r>
            <w:proofErr w:type="spellStart"/>
            <w:r w:rsidRPr="004C0798">
              <w:rPr>
                <w:rFonts w:asciiTheme="majorHAnsi" w:eastAsia="Times New Roman" w:hAnsiTheme="majorHAnsi" w:cstheme="majorHAnsi"/>
                <w:b/>
                <w:color w:val="808080" w:themeColor="background1" w:themeShade="80"/>
                <w:sz w:val="20"/>
                <w:szCs w:val="20"/>
              </w:rPr>
              <w:t>documents</w:t>
            </w:r>
            <w:proofErr w:type="spellEnd"/>
          </w:p>
        </w:tc>
        <w:tc>
          <w:tcPr>
            <w:tcW w:w="1483" w:type="dxa"/>
          </w:tcPr>
          <w:p w14:paraId="773B7E53" w14:textId="77777777" w:rsidR="00EA37BF" w:rsidRPr="004C0798" w:rsidRDefault="00EA37BF"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Justification</w:t>
            </w:r>
            <w:proofErr w:type="spellEnd"/>
          </w:p>
        </w:tc>
      </w:tr>
      <w:tr w:rsidR="00EA37BF" w:rsidRPr="004C0798" w14:paraId="50EF415F" w14:textId="77777777" w:rsidTr="00861438">
        <w:tc>
          <w:tcPr>
            <w:tcW w:w="2235" w:type="dxa"/>
          </w:tcPr>
          <w:p w14:paraId="422A9B78"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c>
          <w:tcPr>
            <w:tcW w:w="1701" w:type="dxa"/>
          </w:tcPr>
          <w:p w14:paraId="779B1DC3"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c>
          <w:tcPr>
            <w:tcW w:w="1120" w:type="dxa"/>
          </w:tcPr>
          <w:p w14:paraId="14D1B382"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Criterion</w:t>
            </w:r>
            <w:proofErr w:type="spellEnd"/>
            <w:r w:rsidRPr="004C0798">
              <w:rPr>
                <w:rFonts w:asciiTheme="majorHAnsi" w:hAnsiTheme="majorHAnsi" w:cstheme="majorHAnsi"/>
                <w:color w:val="808080" w:themeColor="background1" w:themeShade="80"/>
                <w:sz w:val="20"/>
                <w:szCs w:val="20"/>
              </w:rPr>
              <w:t xml:space="preserve"> 1</w:t>
            </w:r>
          </w:p>
        </w:tc>
        <w:tc>
          <w:tcPr>
            <w:tcW w:w="1296" w:type="dxa"/>
          </w:tcPr>
          <w:p w14:paraId="4BE04AD5"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Y/N</w:t>
            </w:r>
          </w:p>
        </w:tc>
        <w:tc>
          <w:tcPr>
            <w:tcW w:w="1688" w:type="dxa"/>
          </w:tcPr>
          <w:p w14:paraId="76A3A797"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[500]</w:t>
            </w:r>
          </w:p>
        </w:tc>
        <w:tc>
          <w:tcPr>
            <w:tcW w:w="1483" w:type="dxa"/>
          </w:tcPr>
          <w:p w14:paraId="7F61405E"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[1000]</w:t>
            </w:r>
          </w:p>
        </w:tc>
      </w:tr>
      <w:tr w:rsidR="00EA37BF" w:rsidRPr="004C0798" w14:paraId="5227A6A0" w14:textId="77777777" w:rsidTr="00861438">
        <w:tc>
          <w:tcPr>
            <w:tcW w:w="2235" w:type="dxa"/>
          </w:tcPr>
          <w:p w14:paraId="05ABB0A8"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c>
          <w:tcPr>
            <w:tcW w:w="1701" w:type="dxa"/>
          </w:tcPr>
          <w:p w14:paraId="26A4DA06"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c>
          <w:tcPr>
            <w:tcW w:w="1120" w:type="dxa"/>
          </w:tcPr>
          <w:p w14:paraId="1D4CEC7A"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Criterion</w:t>
            </w:r>
            <w:proofErr w:type="spellEnd"/>
            <w:r w:rsidRPr="004C0798">
              <w:rPr>
                <w:rFonts w:asciiTheme="majorHAnsi" w:hAnsiTheme="majorHAnsi" w:cstheme="majorHAnsi"/>
                <w:color w:val="808080" w:themeColor="background1" w:themeShade="80"/>
                <w:sz w:val="20"/>
                <w:szCs w:val="20"/>
              </w:rPr>
              <w:t xml:space="preserve"> 2</w:t>
            </w:r>
          </w:p>
        </w:tc>
        <w:tc>
          <w:tcPr>
            <w:tcW w:w="1296" w:type="dxa"/>
          </w:tcPr>
          <w:p w14:paraId="2B18C50F"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688" w:type="dxa"/>
          </w:tcPr>
          <w:p w14:paraId="704CA7E3"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1483" w:type="dxa"/>
          </w:tcPr>
          <w:p w14:paraId="47D1AEB1"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bl>
    <w:p w14:paraId="5630184C" w14:textId="77777777" w:rsidR="00EA37BF" w:rsidRPr="004C0798" w:rsidRDefault="00EA37BF" w:rsidP="00EA37BF">
      <w:pPr>
        <w:numPr>
          <w:ilvl w:val="0"/>
          <w:numId w:val="10"/>
        </w:numPr>
        <w:spacing w:after="120" w:line="240" w:lineRule="auto"/>
        <w:jc w:val="both"/>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Programme</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authorities</w:t>
      </w:r>
      <w:proofErr w:type="spellEnd"/>
      <w:r w:rsidRPr="004C0798">
        <w:rPr>
          <w:rFonts w:asciiTheme="majorHAnsi" w:hAnsiTheme="majorHAnsi" w:cstheme="majorHAnsi"/>
          <w:b/>
          <w:color w:val="808080" w:themeColor="background1" w:themeShade="80"/>
          <w:sz w:val="20"/>
          <w:szCs w:val="20"/>
        </w:rPr>
        <w:t xml:space="preserve"> </w:t>
      </w:r>
    </w:p>
    <w:p w14:paraId="0E210317" w14:textId="77777777" w:rsidR="00EA37BF" w:rsidRPr="004C0798" w:rsidRDefault="00EA37BF" w:rsidP="00EA37BF">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Reference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17(3)(j),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65 </w:t>
      </w:r>
      <w:proofErr w:type="spellStart"/>
      <w:r w:rsidRPr="004C0798">
        <w:rPr>
          <w:rFonts w:asciiTheme="majorHAnsi" w:hAnsiTheme="majorHAnsi" w:cstheme="majorHAnsi"/>
          <w:i/>
          <w:color w:val="808080" w:themeColor="background1" w:themeShade="80"/>
          <w:sz w:val="20"/>
          <w:szCs w:val="20"/>
        </w:rPr>
        <w:t>and</w:t>
      </w:r>
      <w:proofErr w:type="spellEnd"/>
      <w:r w:rsidRPr="004C0798">
        <w:rPr>
          <w:rFonts w:asciiTheme="majorHAnsi" w:hAnsiTheme="majorHAnsi" w:cstheme="majorHAnsi"/>
          <w:i/>
          <w:color w:val="808080" w:themeColor="background1" w:themeShade="80"/>
          <w:sz w:val="20"/>
          <w:szCs w:val="20"/>
        </w:rPr>
        <w:t xml:space="preserve"> 78 CPR</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2"/>
        <w:gridCol w:w="2192"/>
        <w:gridCol w:w="2551"/>
        <w:gridCol w:w="2363"/>
      </w:tblGrid>
      <w:tr w:rsidR="00EA37BF" w:rsidRPr="004C0798" w14:paraId="25FD3572" w14:textId="77777777" w:rsidTr="00861438">
        <w:tc>
          <w:tcPr>
            <w:tcW w:w="2182" w:type="dxa"/>
          </w:tcPr>
          <w:p w14:paraId="238036EA"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b/>
                <w:color w:val="808080" w:themeColor="background1" w:themeShade="80"/>
                <w:sz w:val="20"/>
                <w:szCs w:val="20"/>
              </w:rPr>
              <w:t>Table</w:t>
            </w:r>
            <w:r w:rsidRPr="004C0798">
              <w:rPr>
                <w:rFonts w:asciiTheme="majorHAnsi" w:hAnsiTheme="majorHAnsi" w:cstheme="majorHAnsi"/>
                <w:b/>
                <w:i/>
                <w:color w:val="808080" w:themeColor="background1" w:themeShade="80"/>
                <w:sz w:val="20"/>
                <w:szCs w:val="20"/>
              </w:rPr>
              <w:t xml:space="preserve"> 11</w:t>
            </w:r>
          </w:p>
        </w:tc>
        <w:tc>
          <w:tcPr>
            <w:tcW w:w="2192" w:type="dxa"/>
          </w:tcPr>
          <w:p w14:paraId="08C77345" w14:textId="77777777" w:rsidR="00EA37BF" w:rsidRPr="004C0798" w:rsidRDefault="00EA37BF"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proofErr w:type="spellStart"/>
            <w:r w:rsidRPr="004C0798">
              <w:rPr>
                <w:rFonts w:asciiTheme="majorHAnsi" w:eastAsia="Times New Roman" w:hAnsiTheme="majorHAnsi" w:cstheme="majorHAnsi"/>
                <w:b/>
                <w:color w:val="808080" w:themeColor="background1" w:themeShade="80"/>
                <w:sz w:val="20"/>
                <w:szCs w:val="20"/>
              </w:rPr>
              <w:t>Name</w:t>
            </w:r>
            <w:proofErr w:type="spellEnd"/>
            <w:r w:rsidRPr="004C0798">
              <w:rPr>
                <w:rFonts w:asciiTheme="majorHAnsi" w:eastAsia="Times New Roman" w:hAnsiTheme="majorHAnsi" w:cstheme="majorHAnsi"/>
                <w:b/>
                <w:color w:val="808080" w:themeColor="background1" w:themeShade="80"/>
                <w:sz w:val="20"/>
                <w:szCs w:val="20"/>
              </w:rPr>
              <w:t xml:space="preserve"> of the </w:t>
            </w:r>
            <w:proofErr w:type="spellStart"/>
            <w:r w:rsidRPr="004C0798">
              <w:rPr>
                <w:rFonts w:asciiTheme="majorHAnsi" w:eastAsia="Times New Roman" w:hAnsiTheme="majorHAnsi" w:cstheme="majorHAnsi"/>
                <w:b/>
                <w:color w:val="808080" w:themeColor="background1" w:themeShade="80"/>
                <w:sz w:val="20"/>
                <w:szCs w:val="20"/>
              </w:rPr>
              <w:t>institution</w:t>
            </w:r>
            <w:proofErr w:type="spellEnd"/>
            <w:r w:rsidRPr="004C0798">
              <w:rPr>
                <w:rFonts w:asciiTheme="majorHAnsi" w:eastAsia="Times New Roman" w:hAnsiTheme="majorHAnsi" w:cstheme="majorHAnsi"/>
                <w:b/>
                <w:color w:val="808080" w:themeColor="background1" w:themeShade="80"/>
                <w:sz w:val="20"/>
                <w:szCs w:val="20"/>
              </w:rPr>
              <w:t xml:space="preserve"> </w:t>
            </w:r>
            <w:r w:rsidRPr="004C0798">
              <w:rPr>
                <w:rFonts w:asciiTheme="majorHAnsi" w:eastAsia="Times New Roman" w:hAnsiTheme="majorHAnsi" w:cstheme="majorHAnsi"/>
                <w:color w:val="808080" w:themeColor="background1" w:themeShade="80"/>
                <w:sz w:val="20"/>
                <w:szCs w:val="20"/>
              </w:rPr>
              <w:t>[500]</w:t>
            </w:r>
          </w:p>
        </w:tc>
        <w:tc>
          <w:tcPr>
            <w:tcW w:w="2551" w:type="dxa"/>
          </w:tcPr>
          <w:p w14:paraId="669DE3BF" w14:textId="77777777" w:rsidR="00EA37BF" w:rsidRPr="004C0798" w:rsidRDefault="00EA37BF"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 xml:space="preserve">Contact </w:t>
            </w:r>
            <w:proofErr w:type="spellStart"/>
            <w:r w:rsidRPr="004C0798">
              <w:rPr>
                <w:rFonts w:asciiTheme="majorHAnsi" w:eastAsia="Times New Roman" w:hAnsiTheme="majorHAnsi" w:cstheme="majorHAnsi"/>
                <w:b/>
                <w:color w:val="808080" w:themeColor="background1" w:themeShade="80"/>
                <w:sz w:val="20"/>
                <w:szCs w:val="20"/>
              </w:rPr>
              <w:t>name</w:t>
            </w:r>
            <w:proofErr w:type="spellEnd"/>
            <w:r w:rsidRPr="004C0798">
              <w:rPr>
                <w:rFonts w:asciiTheme="majorHAnsi" w:eastAsia="Times New Roman" w:hAnsiTheme="majorHAnsi" w:cstheme="majorHAnsi"/>
                <w:b/>
                <w:color w:val="808080" w:themeColor="background1" w:themeShade="80"/>
                <w:sz w:val="20"/>
                <w:szCs w:val="20"/>
              </w:rPr>
              <w:t xml:space="preserve"> </w:t>
            </w:r>
            <w:proofErr w:type="spellStart"/>
            <w:r w:rsidRPr="004C0798">
              <w:rPr>
                <w:rFonts w:asciiTheme="majorHAnsi" w:eastAsia="Times New Roman" w:hAnsiTheme="majorHAnsi" w:cstheme="majorHAnsi"/>
                <w:b/>
                <w:color w:val="808080" w:themeColor="background1" w:themeShade="80"/>
                <w:sz w:val="20"/>
                <w:szCs w:val="20"/>
              </w:rPr>
              <w:t>and</w:t>
            </w:r>
            <w:proofErr w:type="spellEnd"/>
            <w:r w:rsidRPr="004C0798">
              <w:rPr>
                <w:rFonts w:asciiTheme="majorHAnsi" w:eastAsia="Times New Roman" w:hAnsiTheme="majorHAnsi" w:cstheme="majorHAnsi"/>
                <w:b/>
                <w:color w:val="808080" w:themeColor="background1" w:themeShade="80"/>
                <w:sz w:val="20"/>
                <w:szCs w:val="20"/>
              </w:rPr>
              <w:t xml:space="preserve"> </w:t>
            </w:r>
            <w:proofErr w:type="spellStart"/>
            <w:r w:rsidRPr="004C0798">
              <w:rPr>
                <w:rFonts w:asciiTheme="majorHAnsi" w:eastAsia="Times New Roman" w:hAnsiTheme="majorHAnsi" w:cstheme="majorHAnsi"/>
                <w:b/>
                <w:color w:val="808080" w:themeColor="background1" w:themeShade="80"/>
                <w:sz w:val="20"/>
                <w:szCs w:val="20"/>
              </w:rPr>
              <w:t>position</w:t>
            </w:r>
            <w:proofErr w:type="spellEnd"/>
            <w:r w:rsidRPr="004C0798">
              <w:rPr>
                <w:rFonts w:asciiTheme="majorHAnsi" w:eastAsia="Times New Roman" w:hAnsiTheme="majorHAnsi" w:cstheme="majorHAnsi"/>
                <w:b/>
                <w:color w:val="808080" w:themeColor="background1" w:themeShade="80"/>
                <w:sz w:val="20"/>
                <w:szCs w:val="20"/>
              </w:rPr>
              <w:t xml:space="preserve"> </w:t>
            </w:r>
            <w:r w:rsidRPr="004C0798">
              <w:rPr>
                <w:rFonts w:asciiTheme="majorHAnsi" w:eastAsia="Times New Roman" w:hAnsiTheme="majorHAnsi" w:cstheme="majorHAnsi"/>
                <w:color w:val="808080" w:themeColor="background1" w:themeShade="80"/>
                <w:sz w:val="20"/>
                <w:szCs w:val="20"/>
              </w:rPr>
              <w:t>[200]</w:t>
            </w:r>
          </w:p>
        </w:tc>
        <w:tc>
          <w:tcPr>
            <w:tcW w:w="2363" w:type="dxa"/>
          </w:tcPr>
          <w:p w14:paraId="523713BE" w14:textId="77777777" w:rsidR="00EA37BF" w:rsidRPr="004C0798" w:rsidRDefault="00EA37BF" w:rsidP="00861438">
            <w:pPr>
              <w:pBdr>
                <w:top w:val="nil"/>
                <w:left w:val="nil"/>
                <w:bottom w:val="nil"/>
                <w:right w:val="nil"/>
                <w:between w:val="nil"/>
              </w:pBdr>
              <w:spacing w:after="120" w:line="240" w:lineRule="auto"/>
              <w:jc w:val="center"/>
              <w:rPr>
                <w:rFonts w:asciiTheme="majorHAnsi" w:eastAsia="Times New Roman" w:hAnsiTheme="majorHAnsi" w:cstheme="majorHAnsi"/>
                <w:b/>
                <w:color w:val="808080" w:themeColor="background1" w:themeShade="80"/>
                <w:sz w:val="20"/>
                <w:szCs w:val="20"/>
              </w:rPr>
            </w:pPr>
            <w:r w:rsidRPr="004C0798">
              <w:rPr>
                <w:rFonts w:asciiTheme="majorHAnsi" w:eastAsia="Times New Roman" w:hAnsiTheme="majorHAnsi" w:cstheme="majorHAnsi"/>
                <w:b/>
                <w:color w:val="808080" w:themeColor="background1" w:themeShade="80"/>
                <w:sz w:val="20"/>
                <w:szCs w:val="20"/>
              </w:rPr>
              <w:t>e-mail [200]</w:t>
            </w:r>
          </w:p>
        </w:tc>
      </w:tr>
      <w:tr w:rsidR="00EA37BF" w:rsidRPr="004C0798" w14:paraId="1D7A3AE8" w14:textId="77777777" w:rsidTr="00861438">
        <w:tc>
          <w:tcPr>
            <w:tcW w:w="2182" w:type="dxa"/>
          </w:tcPr>
          <w:p w14:paraId="7DF80C95"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color w:val="808080" w:themeColor="background1" w:themeShade="80"/>
                <w:sz w:val="20"/>
                <w:szCs w:val="20"/>
              </w:rPr>
            </w:pPr>
            <w:proofErr w:type="spellStart"/>
            <w:r w:rsidRPr="004C0798">
              <w:rPr>
                <w:rFonts w:asciiTheme="majorHAnsi" w:eastAsia="Times New Roman" w:hAnsiTheme="majorHAnsi" w:cstheme="majorHAnsi"/>
                <w:color w:val="808080" w:themeColor="background1" w:themeShade="80"/>
                <w:sz w:val="20"/>
                <w:szCs w:val="20"/>
              </w:rPr>
              <w:t>Managing</w:t>
            </w:r>
            <w:proofErr w:type="spellEnd"/>
            <w:r w:rsidRPr="004C0798">
              <w:rPr>
                <w:rFonts w:asciiTheme="majorHAnsi" w:eastAsia="Times New Roman" w:hAnsiTheme="majorHAnsi" w:cstheme="majorHAnsi"/>
                <w:color w:val="808080" w:themeColor="background1" w:themeShade="80"/>
                <w:sz w:val="20"/>
                <w:szCs w:val="20"/>
              </w:rPr>
              <w:t xml:space="preserve"> </w:t>
            </w:r>
            <w:proofErr w:type="spellStart"/>
            <w:r w:rsidRPr="004C0798">
              <w:rPr>
                <w:rFonts w:asciiTheme="majorHAnsi" w:eastAsia="Times New Roman" w:hAnsiTheme="majorHAnsi" w:cstheme="majorHAnsi"/>
                <w:color w:val="808080" w:themeColor="background1" w:themeShade="80"/>
                <w:sz w:val="20"/>
                <w:szCs w:val="20"/>
              </w:rPr>
              <w:t>authority</w:t>
            </w:r>
            <w:proofErr w:type="spellEnd"/>
          </w:p>
        </w:tc>
        <w:tc>
          <w:tcPr>
            <w:tcW w:w="2192" w:type="dxa"/>
          </w:tcPr>
          <w:p w14:paraId="3007BCD8"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2551" w:type="dxa"/>
          </w:tcPr>
          <w:p w14:paraId="33E4891B"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2363" w:type="dxa"/>
          </w:tcPr>
          <w:p w14:paraId="616C9418"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r w:rsidR="00EA37BF" w:rsidRPr="004C0798" w14:paraId="21350DDC" w14:textId="77777777" w:rsidTr="00861438">
        <w:tc>
          <w:tcPr>
            <w:tcW w:w="2182" w:type="dxa"/>
          </w:tcPr>
          <w:p w14:paraId="7532961E"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color w:val="808080" w:themeColor="background1" w:themeShade="80"/>
                <w:sz w:val="20"/>
                <w:szCs w:val="20"/>
              </w:rPr>
            </w:pPr>
            <w:r w:rsidRPr="004C0798">
              <w:rPr>
                <w:rFonts w:asciiTheme="majorHAnsi" w:eastAsia="Times New Roman" w:hAnsiTheme="majorHAnsi" w:cstheme="majorHAnsi"/>
                <w:color w:val="808080" w:themeColor="background1" w:themeShade="80"/>
                <w:sz w:val="20"/>
                <w:szCs w:val="20"/>
              </w:rPr>
              <w:t xml:space="preserve">Audit </w:t>
            </w:r>
            <w:proofErr w:type="spellStart"/>
            <w:r w:rsidRPr="004C0798">
              <w:rPr>
                <w:rFonts w:asciiTheme="majorHAnsi" w:eastAsia="Times New Roman" w:hAnsiTheme="majorHAnsi" w:cstheme="majorHAnsi"/>
                <w:color w:val="808080" w:themeColor="background1" w:themeShade="80"/>
                <w:sz w:val="20"/>
                <w:szCs w:val="20"/>
              </w:rPr>
              <w:t>authority</w:t>
            </w:r>
            <w:proofErr w:type="spellEnd"/>
          </w:p>
        </w:tc>
        <w:tc>
          <w:tcPr>
            <w:tcW w:w="2192" w:type="dxa"/>
          </w:tcPr>
          <w:p w14:paraId="30B5F3D0"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2551" w:type="dxa"/>
          </w:tcPr>
          <w:p w14:paraId="4F57303A"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2363" w:type="dxa"/>
          </w:tcPr>
          <w:p w14:paraId="5EE20DB7"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r w:rsidR="00EA37BF" w:rsidRPr="004C0798" w14:paraId="40273FC5" w14:textId="77777777" w:rsidTr="00861438">
        <w:tc>
          <w:tcPr>
            <w:tcW w:w="2182" w:type="dxa"/>
          </w:tcPr>
          <w:p w14:paraId="0B616560" w14:textId="77777777" w:rsidR="00EA37BF" w:rsidRPr="004C0798" w:rsidRDefault="00EA37BF" w:rsidP="00861438">
            <w:pPr>
              <w:pBdr>
                <w:top w:val="nil"/>
                <w:left w:val="nil"/>
                <w:bottom w:val="nil"/>
                <w:right w:val="nil"/>
                <w:between w:val="nil"/>
              </w:pBdr>
              <w:spacing w:after="120" w:line="240" w:lineRule="auto"/>
              <w:rPr>
                <w:rFonts w:asciiTheme="majorHAnsi" w:eastAsia="Times New Roman" w:hAnsiTheme="majorHAnsi" w:cstheme="majorHAnsi"/>
                <w:color w:val="808080" w:themeColor="background1" w:themeShade="80"/>
                <w:sz w:val="20"/>
                <w:szCs w:val="20"/>
              </w:rPr>
            </w:pPr>
            <w:r w:rsidRPr="004C0798">
              <w:rPr>
                <w:rFonts w:asciiTheme="majorHAnsi" w:eastAsia="Times New Roman" w:hAnsiTheme="majorHAnsi" w:cstheme="majorHAnsi"/>
                <w:color w:val="808080" w:themeColor="background1" w:themeShade="80"/>
                <w:sz w:val="20"/>
                <w:szCs w:val="20"/>
              </w:rPr>
              <w:t xml:space="preserve">Body </w:t>
            </w:r>
            <w:proofErr w:type="spellStart"/>
            <w:r w:rsidRPr="004C0798">
              <w:rPr>
                <w:rFonts w:asciiTheme="majorHAnsi" w:eastAsia="Times New Roman" w:hAnsiTheme="majorHAnsi" w:cstheme="majorHAnsi"/>
                <w:color w:val="808080" w:themeColor="background1" w:themeShade="80"/>
                <w:sz w:val="20"/>
                <w:szCs w:val="20"/>
              </w:rPr>
              <w:t>which</w:t>
            </w:r>
            <w:proofErr w:type="spellEnd"/>
            <w:r w:rsidRPr="004C0798">
              <w:rPr>
                <w:rFonts w:asciiTheme="majorHAnsi" w:eastAsia="Times New Roman" w:hAnsiTheme="majorHAnsi" w:cstheme="majorHAnsi"/>
                <w:color w:val="808080" w:themeColor="background1" w:themeShade="80"/>
                <w:sz w:val="20"/>
                <w:szCs w:val="20"/>
              </w:rPr>
              <w:t xml:space="preserve"> </w:t>
            </w:r>
            <w:proofErr w:type="spellStart"/>
            <w:r w:rsidRPr="004C0798">
              <w:rPr>
                <w:rFonts w:asciiTheme="majorHAnsi" w:eastAsia="Times New Roman" w:hAnsiTheme="majorHAnsi" w:cstheme="majorHAnsi"/>
                <w:color w:val="808080" w:themeColor="background1" w:themeShade="80"/>
                <w:sz w:val="20"/>
                <w:szCs w:val="20"/>
              </w:rPr>
              <w:t>receives</w:t>
            </w:r>
            <w:proofErr w:type="spellEnd"/>
            <w:r w:rsidRPr="004C0798">
              <w:rPr>
                <w:rFonts w:asciiTheme="majorHAnsi" w:eastAsia="Times New Roman" w:hAnsiTheme="majorHAnsi" w:cstheme="majorHAnsi"/>
                <w:color w:val="808080" w:themeColor="background1" w:themeShade="80"/>
                <w:sz w:val="20"/>
                <w:szCs w:val="20"/>
              </w:rPr>
              <w:t xml:space="preserve">  </w:t>
            </w:r>
            <w:proofErr w:type="spellStart"/>
            <w:r w:rsidRPr="004C0798">
              <w:rPr>
                <w:rFonts w:asciiTheme="majorHAnsi" w:eastAsia="Times New Roman" w:hAnsiTheme="majorHAnsi" w:cstheme="majorHAnsi"/>
                <w:color w:val="808080" w:themeColor="background1" w:themeShade="80"/>
                <w:sz w:val="20"/>
                <w:szCs w:val="20"/>
              </w:rPr>
              <w:t>payments</w:t>
            </w:r>
            <w:proofErr w:type="spellEnd"/>
            <w:r w:rsidRPr="004C0798">
              <w:rPr>
                <w:rFonts w:asciiTheme="majorHAnsi" w:eastAsia="Times New Roman" w:hAnsiTheme="majorHAnsi" w:cstheme="majorHAnsi"/>
                <w:color w:val="808080" w:themeColor="background1" w:themeShade="80"/>
                <w:sz w:val="20"/>
                <w:szCs w:val="20"/>
              </w:rPr>
              <w:t xml:space="preserve"> </w:t>
            </w:r>
            <w:proofErr w:type="spellStart"/>
            <w:r w:rsidRPr="004C0798">
              <w:rPr>
                <w:rFonts w:asciiTheme="majorHAnsi" w:eastAsia="Times New Roman" w:hAnsiTheme="majorHAnsi" w:cstheme="majorHAnsi"/>
                <w:color w:val="808080" w:themeColor="background1" w:themeShade="80"/>
                <w:sz w:val="20"/>
                <w:szCs w:val="20"/>
              </w:rPr>
              <w:t>from</w:t>
            </w:r>
            <w:proofErr w:type="spellEnd"/>
            <w:r w:rsidRPr="004C0798">
              <w:rPr>
                <w:rFonts w:asciiTheme="majorHAnsi" w:eastAsia="Times New Roman" w:hAnsiTheme="majorHAnsi" w:cstheme="majorHAnsi"/>
                <w:color w:val="808080" w:themeColor="background1" w:themeShade="80"/>
                <w:sz w:val="20"/>
                <w:szCs w:val="20"/>
              </w:rPr>
              <w:t xml:space="preserve"> the </w:t>
            </w:r>
            <w:proofErr w:type="spellStart"/>
            <w:r w:rsidRPr="004C0798">
              <w:rPr>
                <w:rFonts w:asciiTheme="majorHAnsi" w:eastAsia="Times New Roman" w:hAnsiTheme="majorHAnsi" w:cstheme="majorHAnsi"/>
                <w:color w:val="808080" w:themeColor="background1" w:themeShade="80"/>
                <w:sz w:val="20"/>
                <w:szCs w:val="20"/>
              </w:rPr>
              <w:t>Commission</w:t>
            </w:r>
            <w:proofErr w:type="spellEnd"/>
          </w:p>
        </w:tc>
        <w:tc>
          <w:tcPr>
            <w:tcW w:w="2192" w:type="dxa"/>
          </w:tcPr>
          <w:p w14:paraId="327ACD0C"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2551" w:type="dxa"/>
          </w:tcPr>
          <w:p w14:paraId="2C190F8A"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2363" w:type="dxa"/>
          </w:tcPr>
          <w:p w14:paraId="5875F43A"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bl>
    <w:p w14:paraId="3CC63538" w14:textId="77777777" w:rsidR="00EA37BF" w:rsidRPr="004C0798" w:rsidRDefault="00EA37BF" w:rsidP="00EA37BF">
      <w:pPr>
        <w:spacing w:after="120" w:line="240" w:lineRule="auto"/>
        <w:rPr>
          <w:rFonts w:asciiTheme="majorHAnsi" w:hAnsiTheme="majorHAnsi" w:cstheme="majorHAnsi"/>
          <w:color w:val="808080" w:themeColor="background1" w:themeShade="80"/>
          <w:sz w:val="20"/>
          <w:szCs w:val="20"/>
        </w:rPr>
      </w:pPr>
    </w:p>
    <w:p w14:paraId="1AF47838" w14:textId="77777777" w:rsidR="00EA37BF" w:rsidRPr="004C0798" w:rsidRDefault="00EA37BF" w:rsidP="00EA37BF">
      <w:pPr>
        <w:numPr>
          <w:ilvl w:val="0"/>
          <w:numId w:val="10"/>
        </w:numPr>
        <w:spacing w:after="120" w:line="240" w:lineRule="auto"/>
        <w:jc w:val="both"/>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Partnership</w:t>
      </w:r>
      <w:proofErr w:type="spellEnd"/>
      <w:r w:rsidRPr="004C0798">
        <w:rPr>
          <w:rFonts w:asciiTheme="majorHAnsi" w:hAnsiTheme="majorHAnsi" w:cstheme="majorHAnsi"/>
          <w:b/>
          <w:color w:val="808080" w:themeColor="background1" w:themeShade="80"/>
          <w:sz w:val="20"/>
          <w:szCs w:val="20"/>
        </w:rPr>
        <w:t xml:space="preserve"> </w:t>
      </w:r>
    </w:p>
    <w:p w14:paraId="2FB4ABC6" w14:textId="77777777" w:rsidR="00EA37BF" w:rsidRPr="004C0798" w:rsidRDefault="00EA37BF" w:rsidP="00EA37BF">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Reference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17(3)(g) CPR; </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8"/>
      </w:tblGrid>
      <w:tr w:rsidR="00EA37BF" w:rsidRPr="004C0798" w14:paraId="35544CA9" w14:textId="77777777" w:rsidTr="00861438">
        <w:tc>
          <w:tcPr>
            <w:tcW w:w="9288" w:type="dxa"/>
          </w:tcPr>
          <w:p w14:paraId="412EA3F2"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text </w:t>
            </w:r>
            <w:proofErr w:type="spellStart"/>
            <w:r w:rsidRPr="004C0798">
              <w:rPr>
                <w:rFonts w:asciiTheme="majorHAnsi" w:hAnsiTheme="majorHAnsi" w:cstheme="majorHAnsi"/>
                <w:i/>
                <w:color w:val="808080" w:themeColor="background1" w:themeShade="80"/>
                <w:sz w:val="20"/>
                <w:szCs w:val="20"/>
              </w:rPr>
              <w:t>field</w:t>
            </w:r>
            <w:proofErr w:type="spellEnd"/>
            <w:r w:rsidRPr="004C0798">
              <w:rPr>
                <w:rFonts w:asciiTheme="majorHAnsi" w:hAnsiTheme="majorHAnsi" w:cstheme="majorHAnsi"/>
                <w:i/>
                <w:color w:val="808080" w:themeColor="background1" w:themeShade="80"/>
                <w:sz w:val="20"/>
                <w:szCs w:val="20"/>
              </w:rPr>
              <w:t xml:space="preserve"> [10 000] </w:t>
            </w:r>
          </w:p>
        </w:tc>
      </w:tr>
    </w:tbl>
    <w:p w14:paraId="7E0DCFC0" w14:textId="77777777" w:rsidR="00EA37BF" w:rsidRPr="004C0798" w:rsidRDefault="00EA37BF" w:rsidP="00EA37BF">
      <w:pPr>
        <w:spacing w:after="120" w:line="240" w:lineRule="auto"/>
        <w:rPr>
          <w:rFonts w:asciiTheme="majorHAnsi" w:hAnsiTheme="majorHAnsi" w:cstheme="majorHAnsi"/>
          <w:color w:val="808080" w:themeColor="background1" w:themeShade="80"/>
          <w:sz w:val="20"/>
          <w:szCs w:val="20"/>
        </w:rPr>
      </w:pPr>
    </w:p>
    <w:p w14:paraId="72E7E937" w14:textId="77777777" w:rsidR="00EA37BF" w:rsidRPr="004C0798" w:rsidRDefault="00EA37BF" w:rsidP="00EA37BF">
      <w:pPr>
        <w:numPr>
          <w:ilvl w:val="0"/>
          <w:numId w:val="10"/>
        </w:numPr>
        <w:spacing w:after="120" w:line="240" w:lineRule="auto"/>
        <w:jc w:val="both"/>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Communication</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and</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visibility</w:t>
      </w:r>
      <w:proofErr w:type="spellEnd"/>
    </w:p>
    <w:p w14:paraId="45EAD58C" w14:textId="77777777" w:rsidR="00EA37BF" w:rsidRPr="004C0798" w:rsidRDefault="00EA37BF" w:rsidP="00EA37BF">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Reference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17(3)(i) CPR,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42(2) CPR </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8"/>
      </w:tblGrid>
      <w:tr w:rsidR="00EA37BF" w:rsidRPr="004C0798" w14:paraId="29FF378C" w14:textId="77777777" w:rsidTr="00861438">
        <w:tc>
          <w:tcPr>
            <w:tcW w:w="9288" w:type="dxa"/>
          </w:tcPr>
          <w:p w14:paraId="5D0F2B5B"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Text </w:t>
            </w:r>
            <w:proofErr w:type="spellStart"/>
            <w:r w:rsidRPr="004C0798">
              <w:rPr>
                <w:rFonts w:asciiTheme="majorHAnsi" w:hAnsiTheme="majorHAnsi" w:cstheme="majorHAnsi"/>
                <w:i/>
                <w:color w:val="808080" w:themeColor="background1" w:themeShade="80"/>
                <w:sz w:val="20"/>
                <w:szCs w:val="20"/>
              </w:rPr>
              <w:t>field</w:t>
            </w:r>
            <w:proofErr w:type="spellEnd"/>
            <w:r w:rsidRPr="004C0798">
              <w:rPr>
                <w:rFonts w:asciiTheme="majorHAnsi" w:hAnsiTheme="majorHAnsi" w:cstheme="majorHAnsi"/>
                <w:i/>
                <w:color w:val="808080" w:themeColor="background1" w:themeShade="80"/>
                <w:sz w:val="20"/>
                <w:szCs w:val="20"/>
              </w:rPr>
              <w:t xml:space="preserve"> [4 500]</w:t>
            </w:r>
          </w:p>
        </w:tc>
      </w:tr>
    </w:tbl>
    <w:p w14:paraId="3F02C881" w14:textId="77777777" w:rsidR="00EA37BF" w:rsidRPr="004C0798" w:rsidRDefault="00EA37BF" w:rsidP="00EA37BF">
      <w:pPr>
        <w:spacing w:after="120" w:line="240" w:lineRule="auto"/>
        <w:rPr>
          <w:rFonts w:asciiTheme="majorHAnsi" w:hAnsiTheme="majorHAnsi" w:cstheme="majorHAnsi"/>
          <w:b/>
          <w:color w:val="808080" w:themeColor="background1" w:themeShade="80"/>
          <w:sz w:val="20"/>
          <w:szCs w:val="20"/>
        </w:rPr>
      </w:pPr>
      <w:r w:rsidRPr="004C0798">
        <w:rPr>
          <w:rFonts w:asciiTheme="majorHAnsi" w:hAnsiTheme="majorHAnsi" w:cstheme="majorHAnsi"/>
          <w:color w:val="808080" w:themeColor="background1" w:themeShade="80"/>
          <w:sz w:val="20"/>
          <w:szCs w:val="20"/>
        </w:rPr>
        <w:br w:type="page"/>
      </w:r>
    </w:p>
    <w:p w14:paraId="68D2E41D" w14:textId="77777777" w:rsidR="00EA37BF" w:rsidRPr="004C0798" w:rsidRDefault="00EA37BF" w:rsidP="00EA37BF">
      <w:pPr>
        <w:numPr>
          <w:ilvl w:val="0"/>
          <w:numId w:val="10"/>
        </w:numPr>
        <w:spacing w:after="120" w:line="240" w:lineRule="auto"/>
        <w:jc w:val="both"/>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lastRenderedPageBreak/>
        <w:t>Use</w:t>
      </w:r>
      <w:proofErr w:type="spellEnd"/>
      <w:r w:rsidRPr="004C0798">
        <w:rPr>
          <w:rFonts w:asciiTheme="majorHAnsi" w:hAnsiTheme="majorHAnsi" w:cstheme="majorHAnsi"/>
          <w:b/>
          <w:color w:val="808080" w:themeColor="background1" w:themeShade="80"/>
          <w:sz w:val="20"/>
          <w:szCs w:val="20"/>
        </w:rPr>
        <w:t xml:space="preserve"> of unit </w:t>
      </w:r>
      <w:proofErr w:type="spellStart"/>
      <w:r w:rsidRPr="004C0798">
        <w:rPr>
          <w:rFonts w:asciiTheme="majorHAnsi" w:hAnsiTheme="majorHAnsi" w:cstheme="majorHAnsi"/>
          <w:b/>
          <w:color w:val="808080" w:themeColor="background1" w:themeShade="80"/>
          <w:sz w:val="20"/>
          <w:szCs w:val="20"/>
        </w:rPr>
        <w:t>costs</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lump</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sums</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flat</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rates</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and</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financing</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not</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linked</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to</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costs</w:t>
      </w:r>
      <w:proofErr w:type="spellEnd"/>
    </w:p>
    <w:p w14:paraId="7D8611E9" w14:textId="77777777" w:rsidR="00EA37BF" w:rsidRPr="004C0798" w:rsidRDefault="00EA37BF" w:rsidP="00EA37BF">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Reference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Articles</w:t>
      </w:r>
      <w:proofErr w:type="spellEnd"/>
      <w:r w:rsidRPr="004C0798">
        <w:rPr>
          <w:rFonts w:asciiTheme="majorHAnsi" w:hAnsiTheme="majorHAnsi" w:cstheme="majorHAnsi"/>
          <w:i/>
          <w:color w:val="808080" w:themeColor="background1" w:themeShade="80"/>
          <w:sz w:val="20"/>
          <w:szCs w:val="20"/>
        </w:rPr>
        <w:t xml:space="preserve"> 88 </w:t>
      </w:r>
      <w:proofErr w:type="spellStart"/>
      <w:r w:rsidRPr="004C0798">
        <w:rPr>
          <w:rFonts w:asciiTheme="majorHAnsi" w:hAnsiTheme="majorHAnsi" w:cstheme="majorHAnsi"/>
          <w:i/>
          <w:color w:val="808080" w:themeColor="background1" w:themeShade="80"/>
          <w:sz w:val="20"/>
          <w:szCs w:val="20"/>
        </w:rPr>
        <w:t>and</w:t>
      </w:r>
      <w:proofErr w:type="spellEnd"/>
      <w:r w:rsidRPr="004C0798">
        <w:rPr>
          <w:rFonts w:asciiTheme="majorHAnsi" w:hAnsiTheme="majorHAnsi" w:cstheme="majorHAnsi"/>
          <w:i/>
          <w:color w:val="808080" w:themeColor="background1" w:themeShade="80"/>
          <w:sz w:val="20"/>
          <w:szCs w:val="20"/>
        </w:rPr>
        <w:t xml:space="preserve"> 89 CPR</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5"/>
        <w:gridCol w:w="1276"/>
        <w:gridCol w:w="1701"/>
      </w:tblGrid>
      <w:tr w:rsidR="00EA37BF" w:rsidRPr="004C0798" w14:paraId="0011B1E7" w14:textId="77777777" w:rsidTr="00861438">
        <w:tc>
          <w:tcPr>
            <w:tcW w:w="6345" w:type="dxa"/>
          </w:tcPr>
          <w:p w14:paraId="1B6A0EA2"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w:t>
            </w:r>
            <w:proofErr w:type="spellStart"/>
            <w:r w:rsidRPr="004C0798">
              <w:rPr>
                <w:rFonts w:asciiTheme="majorHAnsi" w:hAnsiTheme="majorHAnsi" w:cstheme="majorHAnsi"/>
                <w:i/>
                <w:color w:val="808080" w:themeColor="background1" w:themeShade="80"/>
                <w:sz w:val="20"/>
                <w:szCs w:val="20"/>
              </w:rPr>
              <w:t>Intended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use</w:t>
            </w:r>
            <w:proofErr w:type="spellEnd"/>
            <w:r w:rsidRPr="004C0798">
              <w:rPr>
                <w:rFonts w:asciiTheme="majorHAnsi" w:hAnsiTheme="majorHAnsi" w:cstheme="majorHAnsi"/>
                <w:i/>
                <w:color w:val="808080" w:themeColor="background1" w:themeShade="80"/>
                <w:sz w:val="20"/>
                <w:szCs w:val="20"/>
              </w:rPr>
              <w:t xml:space="preserve"> of </w:t>
            </w:r>
            <w:proofErr w:type="spellStart"/>
            <w:r w:rsidRPr="004C0798">
              <w:rPr>
                <w:rFonts w:asciiTheme="majorHAnsi" w:hAnsiTheme="majorHAnsi" w:cstheme="majorHAnsi"/>
                <w:i/>
                <w:color w:val="808080" w:themeColor="background1" w:themeShade="80"/>
                <w:sz w:val="20"/>
                <w:szCs w:val="20"/>
              </w:rPr>
              <w:t>Articles</w:t>
            </w:r>
            <w:proofErr w:type="spellEnd"/>
            <w:r w:rsidRPr="004C0798">
              <w:rPr>
                <w:rFonts w:asciiTheme="majorHAnsi" w:hAnsiTheme="majorHAnsi" w:cstheme="majorHAnsi"/>
                <w:i/>
                <w:color w:val="808080" w:themeColor="background1" w:themeShade="80"/>
                <w:sz w:val="20"/>
                <w:szCs w:val="20"/>
              </w:rPr>
              <w:t xml:space="preserve"> 88 </w:t>
            </w:r>
            <w:proofErr w:type="spellStart"/>
            <w:r w:rsidRPr="004C0798">
              <w:rPr>
                <w:rFonts w:asciiTheme="majorHAnsi" w:hAnsiTheme="majorHAnsi" w:cstheme="majorHAnsi"/>
                <w:i/>
                <w:color w:val="808080" w:themeColor="background1" w:themeShade="80"/>
                <w:sz w:val="20"/>
                <w:szCs w:val="20"/>
              </w:rPr>
              <w:t>and</w:t>
            </w:r>
            <w:proofErr w:type="spellEnd"/>
            <w:r w:rsidRPr="004C0798">
              <w:rPr>
                <w:rFonts w:asciiTheme="majorHAnsi" w:hAnsiTheme="majorHAnsi" w:cstheme="majorHAnsi"/>
                <w:i/>
                <w:color w:val="808080" w:themeColor="background1" w:themeShade="80"/>
                <w:sz w:val="20"/>
                <w:szCs w:val="20"/>
              </w:rPr>
              <w:t xml:space="preserve"> 89]</w:t>
            </w:r>
            <w:r w:rsidRPr="004C0798">
              <w:rPr>
                <w:rFonts w:asciiTheme="majorHAnsi" w:hAnsiTheme="majorHAnsi" w:cstheme="majorHAnsi"/>
                <w:i/>
                <w:color w:val="808080" w:themeColor="background1" w:themeShade="80"/>
                <w:sz w:val="20"/>
                <w:szCs w:val="20"/>
                <w:vertAlign w:val="superscript"/>
              </w:rPr>
              <w:footnoteReference w:id="6"/>
            </w:r>
          </w:p>
        </w:tc>
        <w:tc>
          <w:tcPr>
            <w:tcW w:w="1276" w:type="dxa"/>
          </w:tcPr>
          <w:p w14:paraId="4EC02169"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b/>
                <w:i/>
                <w:color w:val="808080" w:themeColor="background1" w:themeShade="80"/>
                <w:sz w:val="20"/>
                <w:szCs w:val="20"/>
                <w:u w:val="single"/>
              </w:rPr>
            </w:pPr>
            <w:r w:rsidRPr="004C0798">
              <w:rPr>
                <w:rFonts w:asciiTheme="majorHAnsi" w:hAnsiTheme="majorHAnsi" w:cstheme="majorHAnsi"/>
                <w:b/>
                <w:i/>
                <w:color w:val="808080" w:themeColor="background1" w:themeShade="80"/>
                <w:sz w:val="20"/>
                <w:szCs w:val="20"/>
                <w:u w:val="single"/>
              </w:rPr>
              <w:t>YES</w:t>
            </w:r>
          </w:p>
        </w:tc>
        <w:tc>
          <w:tcPr>
            <w:tcW w:w="1701" w:type="dxa"/>
          </w:tcPr>
          <w:p w14:paraId="3BCE9AB4"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b/>
                <w:i/>
                <w:color w:val="808080" w:themeColor="background1" w:themeShade="80"/>
                <w:sz w:val="20"/>
                <w:szCs w:val="20"/>
                <w:u w:val="single"/>
              </w:rPr>
            </w:pPr>
            <w:r w:rsidRPr="004C0798">
              <w:rPr>
                <w:rFonts w:asciiTheme="majorHAnsi" w:hAnsiTheme="majorHAnsi" w:cstheme="majorHAnsi"/>
                <w:b/>
                <w:i/>
                <w:color w:val="808080" w:themeColor="background1" w:themeShade="80"/>
                <w:sz w:val="20"/>
                <w:szCs w:val="20"/>
                <w:u w:val="single"/>
              </w:rPr>
              <w:t>NO</w:t>
            </w:r>
          </w:p>
        </w:tc>
      </w:tr>
      <w:tr w:rsidR="00EA37BF" w:rsidRPr="004C0798" w14:paraId="76032C20" w14:textId="77777777" w:rsidTr="00861438">
        <w:tc>
          <w:tcPr>
            <w:tcW w:w="6345" w:type="dxa"/>
          </w:tcPr>
          <w:p w14:paraId="41E29B79"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From</w:t>
            </w:r>
            <w:proofErr w:type="spellEnd"/>
            <w:r w:rsidRPr="004C0798">
              <w:rPr>
                <w:rFonts w:asciiTheme="majorHAnsi" w:hAnsiTheme="majorHAnsi" w:cstheme="majorHAnsi"/>
                <w:i/>
                <w:color w:val="808080" w:themeColor="background1" w:themeShade="80"/>
                <w:sz w:val="20"/>
                <w:szCs w:val="20"/>
              </w:rPr>
              <w:t xml:space="preserve"> the </w:t>
            </w:r>
            <w:proofErr w:type="spellStart"/>
            <w:r w:rsidRPr="004C0798">
              <w:rPr>
                <w:rFonts w:asciiTheme="majorHAnsi" w:hAnsiTheme="majorHAnsi" w:cstheme="majorHAnsi"/>
                <w:i/>
                <w:color w:val="808080" w:themeColor="background1" w:themeShade="80"/>
                <w:sz w:val="20"/>
                <w:szCs w:val="20"/>
              </w:rPr>
              <w:t>adoption</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programme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will</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make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use</w:t>
            </w:r>
            <w:proofErr w:type="spellEnd"/>
            <w:r w:rsidRPr="004C0798">
              <w:rPr>
                <w:rFonts w:asciiTheme="majorHAnsi" w:hAnsiTheme="majorHAnsi" w:cstheme="majorHAnsi"/>
                <w:i/>
                <w:color w:val="808080" w:themeColor="background1" w:themeShade="80"/>
                <w:sz w:val="20"/>
                <w:szCs w:val="20"/>
              </w:rPr>
              <w:t xml:space="preserve"> of </w:t>
            </w:r>
            <w:proofErr w:type="spellStart"/>
            <w:r w:rsidRPr="004C0798">
              <w:rPr>
                <w:rFonts w:asciiTheme="majorHAnsi" w:hAnsiTheme="majorHAnsi" w:cstheme="majorHAnsi"/>
                <w:i/>
                <w:color w:val="808080" w:themeColor="background1" w:themeShade="80"/>
                <w:sz w:val="20"/>
                <w:szCs w:val="20"/>
              </w:rPr>
              <w:t>reimbursement</w:t>
            </w:r>
            <w:proofErr w:type="spellEnd"/>
            <w:r w:rsidRPr="004C0798">
              <w:rPr>
                <w:rFonts w:asciiTheme="majorHAnsi" w:hAnsiTheme="majorHAnsi" w:cstheme="majorHAnsi"/>
                <w:i/>
                <w:color w:val="808080" w:themeColor="background1" w:themeShade="80"/>
                <w:sz w:val="20"/>
                <w:szCs w:val="20"/>
              </w:rPr>
              <w:t xml:space="preserve"> of the Union </w:t>
            </w:r>
            <w:proofErr w:type="spellStart"/>
            <w:r w:rsidRPr="004C0798">
              <w:rPr>
                <w:rFonts w:asciiTheme="majorHAnsi" w:hAnsiTheme="majorHAnsi" w:cstheme="majorHAnsi"/>
                <w:i/>
                <w:color w:val="808080" w:themeColor="background1" w:themeShade="80"/>
                <w:sz w:val="20"/>
                <w:szCs w:val="20"/>
              </w:rPr>
              <w:t>contribution</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based</w:t>
            </w:r>
            <w:proofErr w:type="spellEnd"/>
            <w:r w:rsidRPr="004C0798">
              <w:rPr>
                <w:rFonts w:asciiTheme="majorHAnsi" w:hAnsiTheme="majorHAnsi" w:cstheme="majorHAnsi"/>
                <w:i/>
                <w:color w:val="808080" w:themeColor="background1" w:themeShade="80"/>
                <w:sz w:val="20"/>
                <w:szCs w:val="20"/>
              </w:rPr>
              <w:t xml:space="preserve"> on unit </w:t>
            </w:r>
            <w:proofErr w:type="spellStart"/>
            <w:r w:rsidRPr="004C0798">
              <w:rPr>
                <w:rFonts w:asciiTheme="majorHAnsi" w:hAnsiTheme="majorHAnsi" w:cstheme="majorHAnsi"/>
                <w:i/>
                <w:color w:val="808080" w:themeColor="background1" w:themeShade="80"/>
                <w:sz w:val="20"/>
                <w:szCs w:val="20"/>
              </w:rPr>
              <w:t>costs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lump</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sums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and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flat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rates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under</w:t>
            </w:r>
            <w:proofErr w:type="spellEnd"/>
            <w:r w:rsidRPr="004C0798">
              <w:rPr>
                <w:rFonts w:asciiTheme="majorHAnsi" w:hAnsiTheme="majorHAnsi" w:cstheme="majorHAnsi"/>
                <w:i/>
                <w:color w:val="808080" w:themeColor="background1" w:themeShade="80"/>
                <w:sz w:val="20"/>
                <w:szCs w:val="20"/>
              </w:rPr>
              <w:t xml:space="preserve"> the </w:t>
            </w:r>
            <w:proofErr w:type="spellStart"/>
            <w:r w:rsidRPr="004C0798">
              <w:rPr>
                <w:rFonts w:asciiTheme="majorHAnsi" w:hAnsiTheme="majorHAnsi" w:cstheme="majorHAnsi"/>
                <w:i/>
                <w:color w:val="808080" w:themeColor="background1" w:themeShade="80"/>
                <w:sz w:val="20"/>
                <w:szCs w:val="20"/>
              </w:rPr>
              <w:t>priority</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according</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88 CPR (</w:t>
            </w:r>
            <w:proofErr w:type="spellStart"/>
            <w:r w:rsidRPr="004C0798">
              <w:rPr>
                <w:rFonts w:asciiTheme="majorHAnsi" w:hAnsiTheme="majorHAnsi" w:cstheme="majorHAnsi"/>
                <w:i/>
                <w:color w:val="808080" w:themeColor="background1" w:themeShade="80"/>
                <w:sz w:val="20"/>
                <w:szCs w:val="20"/>
              </w:rPr>
              <w:t>if</w:t>
            </w:r>
            <w:proofErr w:type="spellEnd"/>
            <w:r w:rsidRPr="004C0798">
              <w:rPr>
                <w:rFonts w:asciiTheme="majorHAnsi" w:hAnsiTheme="majorHAnsi" w:cstheme="majorHAnsi"/>
                <w:i/>
                <w:color w:val="808080" w:themeColor="background1" w:themeShade="80"/>
                <w:sz w:val="20"/>
                <w:szCs w:val="20"/>
              </w:rPr>
              <w:t xml:space="preserve"> yes, </w:t>
            </w:r>
            <w:proofErr w:type="spellStart"/>
            <w:r w:rsidRPr="004C0798">
              <w:rPr>
                <w:rFonts w:asciiTheme="majorHAnsi" w:hAnsiTheme="majorHAnsi" w:cstheme="majorHAnsi"/>
                <w:i/>
                <w:color w:val="808080" w:themeColor="background1" w:themeShade="80"/>
                <w:sz w:val="20"/>
                <w:szCs w:val="20"/>
              </w:rPr>
              <w:t>fill</w:t>
            </w:r>
            <w:proofErr w:type="spellEnd"/>
            <w:r w:rsidRPr="004C0798">
              <w:rPr>
                <w:rFonts w:asciiTheme="majorHAnsi" w:hAnsiTheme="majorHAnsi" w:cstheme="majorHAnsi"/>
                <w:i/>
                <w:color w:val="808080" w:themeColor="background1" w:themeShade="80"/>
                <w:sz w:val="20"/>
                <w:szCs w:val="20"/>
              </w:rPr>
              <w:t xml:space="preserve"> in </w:t>
            </w:r>
            <w:proofErr w:type="spellStart"/>
            <w:r w:rsidRPr="004C0798">
              <w:rPr>
                <w:rFonts w:asciiTheme="majorHAnsi" w:hAnsiTheme="majorHAnsi" w:cstheme="majorHAnsi"/>
                <w:i/>
                <w:color w:val="808080" w:themeColor="background1" w:themeShade="80"/>
                <w:sz w:val="20"/>
                <w:szCs w:val="20"/>
              </w:rPr>
              <w:t>Appendix</w:t>
            </w:r>
            <w:proofErr w:type="spellEnd"/>
            <w:r w:rsidRPr="004C0798">
              <w:rPr>
                <w:rFonts w:asciiTheme="majorHAnsi" w:hAnsiTheme="majorHAnsi" w:cstheme="majorHAnsi"/>
                <w:i/>
                <w:color w:val="808080" w:themeColor="background1" w:themeShade="80"/>
                <w:sz w:val="20"/>
                <w:szCs w:val="20"/>
              </w:rPr>
              <w:t xml:space="preserve"> 1)</w:t>
            </w:r>
          </w:p>
        </w:tc>
        <w:tc>
          <w:tcPr>
            <w:tcW w:w="1276" w:type="dxa"/>
          </w:tcPr>
          <w:p w14:paraId="2D733F69"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b/>
                <w:i/>
                <w:color w:val="808080" w:themeColor="background1" w:themeShade="80"/>
                <w:sz w:val="20"/>
                <w:szCs w:val="20"/>
                <w:u w:val="single"/>
              </w:rPr>
            </w:pPr>
            <w:r w:rsidRPr="004C0798">
              <w:rPr>
                <w:rFonts w:ascii="Segoe UI Symbol" w:hAnsi="Segoe UI Symbol" w:cs="Segoe UI Symbol"/>
                <w:b/>
                <w:i/>
                <w:color w:val="808080" w:themeColor="background1" w:themeShade="80"/>
                <w:sz w:val="20"/>
                <w:szCs w:val="20"/>
                <w:u w:val="single"/>
              </w:rPr>
              <w:t>☐</w:t>
            </w:r>
          </w:p>
        </w:tc>
        <w:tc>
          <w:tcPr>
            <w:tcW w:w="1701" w:type="dxa"/>
          </w:tcPr>
          <w:p w14:paraId="39546714"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b/>
                <w:i/>
                <w:color w:val="808080" w:themeColor="background1" w:themeShade="80"/>
                <w:sz w:val="20"/>
                <w:szCs w:val="20"/>
                <w:u w:val="single"/>
              </w:rPr>
            </w:pPr>
            <w:r w:rsidRPr="004C0798">
              <w:rPr>
                <w:rFonts w:ascii="Segoe UI Symbol" w:hAnsi="Segoe UI Symbol" w:cs="Segoe UI Symbol"/>
                <w:b/>
                <w:i/>
                <w:color w:val="808080" w:themeColor="background1" w:themeShade="80"/>
                <w:sz w:val="20"/>
                <w:szCs w:val="20"/>
                <w:u w:val="single"/>
              </w:rPr>
              <w:t>☐</w:t>
            </w:r>
          </w:p>
        </w:tc>
      </w:tr>
      <w:tr w:rsidR="00EA37BF" w:rsidRPr="004C0798" w14:paraId="75C84350" w14:textId="77777777" w:rsidTr="00861438">
        <w:tc>
          <w:tcPr>
            <w:tcW w:w="6345" w:type="dxa"/>
          </w:tcPr>
          <w:p w14:paraId="72C0BADD"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From</w:t>
            </w:r>
            <w:proofErr w:type="spellEnd"/>
            <w:r w:rsidRPr="004C0798">
              <w:rPr>
                <w:rFonts w:asciiTheme="majorHAnsi" w:hAnsiTheme="majorHAnsi" w:cstheme="majorHAnsi"/>
                <w:i/>
                <w:color w:val="808080" w:themeColor="background1" w:themeShade="80"/>
                <w:sz w:val="20"/>
                <w:szCs w:val="20"/>
              </w:rPr>
              <w:t xml:space="preserve"> the </w:t>
            </w:r>
            <w:proofErr w:type="spellStart"/>
            <w:r w:rsidRPr="004C0798">
              <w:rPr>
                <w:rFonts w:asciiTheme="majorHAnsi" w:hAnsiTheme="majorHAnsi" w:cstheme="majorHAnsi"/>
                <w:i/>
                <w:color w:val="808080" w:themeColor="background1" w:themeShade="80"/>
                <w:sz w:val="20"/>
                <w:szCs w:val="20"/>
              </w:rPr>
              <w:t>adoption</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programme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will</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make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use</w:t>
            </w:r>
            <w:proofErr w:type="spellEnd"/>
            <w:r w:rsidRPr="004C0798">
              <w:rPr>
                <w:rFonts w:asciiTheme="majorHAnsi" w:hAnsiTheme="majorHAnsi" w:cstheme="majorHAnsi"/>
                <w:i/>
                <w:color w:val="808080" w:themeColor="background1" w:themeShade="80"/>
                <w:sz w:val="20"/>
                <w:szCs w:val="20"/>
              </w:rPr>
              <w:t xml:space="preserve"> of </w:t>
            </w:r>
            <w:proofErr w:type="spellStart"/>
            <w:r w:rsidRPr="004C0798">
              <w:rPr>
                <w:rFonts w:asciiTheme="majorHAnsi" w:hAnsiTheme="majorHAnsi" w:cstheme="majorHAnsi"/>
                <w:i/>
                <w:color w:val="808080" w:themeColor="background1" w:themeShade="80"/>
                <w:sz w:val="20"/>
                <w:szCs w:val="20"/>
              </w:rPr>
              <w:t>reimbursement</w:t>
            </w:r>
            <w:proofErr w:type="spellEnd"/>
            <w:r w:rsidRPr="004C0798">
              <w:rPr>
                <w:rFonts w:asciiTheme="majorHAnsi" w:hAnsiTheme="majorHAnsi" w:cstheme="majorHAnsi"/>
                <w:i/>
                <w:color w:val="808080" w:themeColor="background1" w:themeShade="80"/>
                <w:sz w:val="20"/>
                <w:szCs w:val="20"/>
              </w:rPr>
              <w:t xml:space="preserve"> of the Union </w:t>
            </w:r>
            <w:proofErr w:type="spellStart"/>
            <w:r w:rsidRPr="004C0798">
              <w:rPr>
                <w:rFonts w:asciiTheme="majorHAnsi" w:hAnsiTheme="majorHAnsi" w:cstheme="majorHAnsi"/>
                <w:i/>
                <w:color w:val="808080" w:themeColor="background1" w:themeShade="80"/>
                <w:sz w:val="20"/>
                <w:szCs w:val="20"/>
              </w:rPr>
              <w:t>contribution</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based</w:t>
            </w:r>
            <w:proofErr w:type="spellEnd"/>
            <w:r w:rsidRPr="004C0798">
              <w:rPr>
                <w:rFonts w:asciiTheme="majorHAnsi" w:hAnsiTheme="majorHAnsi" w:cstheme="majorHAnsi"/>
                <w:i/>
                <w:color w:val="808080" w:themeColor="background1" w:themeShade="80"/>
                <w:sz w:val="20"/>
                <w:szCs w:val="20"/>
              </w:rPr>
              <w:t xml:space="preserve"> on </w:t>
            </w:r>
            <w:proofErr w:type="spellStart"/>
            <w:r w:rsidRPr="004C0798">
              <w:rPr>
                <w:rFonts w:asciiTheme="majorHAnsi" w:hAnsiTheme="majorHAnsi" w:cstheme="majorHAnsi"/>
                <w:i/>
                <w:color w:val="808080" w:themeColor="background1" w:themeShade="80"/>
                <w:sz w:val="20"/>
                <w:szCs w:val="20"/>
              </w:rPr>
              <w:t>financing</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not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linked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costs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according</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89 CPR (</w:t>
            </w:r>
            <w:proofErr w:type="spellStart"/>
            <w:r w:rsidRPr="004C0798">
              <w:rPr>
                <w:rFonts w:asciiTheme="majorHAnsi" w:hAnsiTheme="majorHAnsi" w:cstheme="majorHAnsi"/>
                <w:i/>
                <w:color w:val="808080" w:themeColor="background1" w:themeShade="80"/>
                <w:sz w:val="20"/>
                <w:szCs w:val="20"/>
              </w:rPr>
              <w:t>if</w:t>
            </w:r>
            <w:proofErr w:type="spellEnd"/>
            <w:r w:rsidRPr="004C0798">
              <w:rPr>
                <w:rFonts w:asciiTheme="majorHAnsi" w:hAnsiTheme="majorHAnsi" w:cstheme="majorHAnsi"/>
                <w:i/>
                <w:color w:val="808080" w:themeColor="background1" w:themeShade="80"/>
                <w:sz w:val="20"/>
                <w:szCs w:val="20"/>
              </w:rPr>
              <w:t xml:space="preserve"> yes, </w:t>
            </w:r>
            <w:proofErr w:type="spellStart"/>
            <w:r w:rsidRPr="004C0798">
              <w:rPr>
                <w:rFonts w:asciiTheme="majorHAnsi" w:hAnsiTheme="majorHAnsi" w:cstheme="majorHAnsi"/>
                <w:i/>
                <w:color w:val="808080" w:themeColor="background1" w:themeShade="80"/>
                <w:sz w:val="20"/>
                <w:szCs w:val="20"/>
              </w:rPr>
              <w:t>fill</w:t>
            </w:r>
            <w:proofErr w:type="spellEnd"/>
            <w:r w:rsidRPr="004C0798">
              <w:rPr>
                <w:rFonts w:asciiTheme="majorHAnsi" w:hAnsiTheme="majorHAnsi" w:cstheme="majorHAnsi"/>
                <w:i/>
                <w:color w:val="808080" w:themeColor="background1" w:themeShade="80"/>
                <w:sz w:val="20"/>
                <w:szCs w:val="20"/>
              </w:rPr>
              <w:t xml:space="preserve"> in </w:t>
            </w:r>
            <w:proofErr w:type="spellStart"/>
            <w:r w:rsidRPr="004C0798">
              <w:rPr>
                <w:rFonts w:asciiTheme="majorHAnsi" w:hAnsiTheme="majorHAnsi" w:cstheme="majorHAnsi"/>
                <w:i/>
                <w:color w:val="808080" w:themeColor="background1" w:themeShade="80"/>
                <w:sz w:val="20"/>
                <w:szCs w:val="20"/>
              </w:rPr>
              <w:t>Appendix</w:t>
            </w:r>
            <w:proofErr w:type="spellEnd"/>
            <w:r w:rsidRPr="004C0798">
              <w:rPr>
                <w:rFonts w:asciiTheme="majorHAnsi" w:hAnsiTheme="majorHAnsi" w:cstheme="majorHAnsi"/>
                <w:i/>
                <w:color w:val="808080" w:themeColor="background1" w:themeShade="80"/>
                <w:sz w:val="20"/>
                <w:szCs w:val="20"/>
              </w:rPr>
              <w:t xml:space="preserve"> 2)</w:t>
            </w:r>
          </w:p>
        </w:tc>
        <w:tc>
          <w:tcPr>
            <w:tcW w:w="1276" w:type="dxa"/>
          </w:tcPr>
          <w:p w14:paraId="66CD9835"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b/>
                <w:i/>
                <w:color w:val="808080" w:themeColor="background1" w:themeShade="80"/>
                <w:sz w:val="20"/>
                <w:szCs w:val="20"/>
                <w:u w:val="single"/>
              </w:rPr>
            </w:pPr>
            <w:r w:rsidRPr="004C0798">
              <w:rPr>
                <w:rFonts w:ascii="Segoe UI Symbol" w:hAnsi="Segoe UI Symbol" w:cs="Segoe UI Symbol"/>
                <w:b/>
                <w:i/>
                <w:color w:val="808080" w:themeColor="background1" w:themeShade="80"/>
                <w:sz w:val="20"/>
                <w:szCs w:val="20"/>
                <w:u w:val="single"/>
              </w:rPr>
              <w:t>☐</w:t>
            </w:r>
          </w:p>
        </w:tc>
        <w:tc>
          <w:tcPr>
            <w:tcW w:w="1701" w:type="dxa"/>
          </w:tcPr>
          <w:p w14:paraId="7855270E" w14:textId="77777777" w:rsidR="00EA37BF" w:rsidRPr="004C0798" w:rsidRDefault="00EA37BF" w:rsidP="00861438">
            <w:pPr>
              <w:pBdr>
                <w:top w:val="nil"/>
                <w:left w:val="nil"/>
                <w:bottom w:val="nil"/>
                <w:right w:val="nil"/>
                <w:between w:val="nil"/>
              </w:pBdr>
              <w:spacing w:after="120" w:line="240" w:lineRule="auto"/>
              <w:rPr>
                <w:rFonts w:asciiTheme="majorHAnsi" w:hAnsiTheme="majorHAnsi" w:cstheme="majorHAnsi"/>
                <w:b/>
                <w:i/>
                <w:color w:val="808080" w:themeColor="background1" w:themeShade="80"/>
                <w:sz w:val="20"/>
                <w:szCs w:val="20"/>
                <w:u w:val="single"/>
              </w:rPr>
            </w:pPr>
            <w:r w:rsidRPr="004C0798">
              <w:rPr>
                <w:rFonts w:ascii="Segoe UI Symbol" w:hAnsi="Segoe UI Symbol" w:cs="Segoe UI Symbol"/>
                <w:b/>
                <w:i/>
                <w:color w:val="808080" w:themeColor="background1" w:themeShade="80"/>
                <w:sz w:val="20"/>
                <w:szCs w:val="20"/>
                <w:u w:val="single"/>
              </w:rPr>
              <w:t>☐</w:t>
            </w:r>
          </w:p>
        </w:tc>
      </w:tr>
    </w:tbl>
    <w:p w14:paraId="1ECB3E63" w14:textId="77777777" w:rsidR="00EA37BF" w:rsidRPr="004C0798" w:rsidRDefault="00EA37BF" w:rsidP="00EA37BF">
      <w:pPr>
        <w:spacing w:after="120" w:line="240" w:lineRule="auto"/>
        <w:rPr>
          <w:rFonts w:asciiTheme="majorHAnsi" w:hAnsiTheme="majorHAnsi" w:cstheme="majorHAnsi"/>
          <w:b/>
          <w:i/>
          <w:color w:val="808080" w:themeColor="background1" w:themeShade="80"/>
          <w:sz w:val="20"/>
          <w:szCs w:val="20"/>
        </w:rPr>
      </w:pPr>
      <w:r w:rsidRPr="004C0798">
        <w:rPr>
          <w:rFonts w:asciiTheme="majorHAnsi" w:hAnsiTheme="majorHAnsi" w:cstheme="majorHAnsi"/>
          <w:color w:val="808080" w:themeColor="background1" w:themeShade="80"/>
          <w:sz w:val="20"/>
          <w:szCs w:val="20"/>
        </w:rPr>
        <w:br w:type="page"/>
      </w:r>
      <w:proofErr w:type="spellStart"/>
      <w:r w:rsidRPr="004C0798">
        <w:rPr>
          <w:rFonts w:asciiTheme="majorHAnsi" w:hAnsiTheme="majorHAnsi" w:cstheme="majorHAnsi"/>
          <w:b/>
          <w:i/>
          <w:color w:val="808080" w:themeColor="background1" w:themeShade="80"/>
          <w:sz w:val="20"/>
          <w:szCs w:val="20"/>
        </w:rPr>
        <w:lastRenderedPageBreak/>
        <w:t>Appendix</w:t>
      </w:r>
      <w:proofErr w:type="spellEnd"/>
      <w:r w:rsidRPr="004C0798">
        <w:rPr>
          <w:rFonts w:asciiTheme="majorHAnsi" w:hAnsiTheme="majorHAnsi" w:cstheme="majorHAnsi"/>
          <w:b/>
          <w:i/>
          <w:color w:val="808080" w:themeColor="background1" w:themeShade="80"/>
          <w:sz w:val="20"/>
          <w:szCs w:val="20"/>
        </w:rPr>
        <w:t xml:space="preserve"> 1:</w:t>
      </w:r>
      <w:r w:rsidRPr="004C0798">
        <w:rPr>
          <w:rFonts w:asciiTheme="majorHAnsi" w:hAnsiTheme="majorHAnsi" w:cstheme="majorHAnsi"/>
          <w:b/>
          <w:color w:val="808080" w:themeColor="background1" w:themeShade="80"/>
          <w:sz w:val="20"/>
          <w:szCs w:val="20"/>
        </w:rPr>
        <w:t xml:space="preserve"> [</w:t>
      </w:r>
      <w:r w:rsidRPr="004C0798">
        <w:rPr>
          <w:rFonts w:asciiTheme="majorHAnsi" w:hAnsiTheme="majorHAnsi" w:cstheme="majorHAnsi"/>
          <w:b/>
          <w:i/>
          <w:color w:val="808080" w:themeColor="background1" w:themeShade="80"/>
          <w:sz w:val="20"/>
          <w:szCs w:val="20"/>
        </w:rPr>
        <w:t xml:space="preserve">Union </w:t>
      </w:r>
      <w:proofErr w:type="spellStart"/>
      <w:r w:rsidRPr="004C0798">
        <w:rPr>
          <w:rFonts w:asciiTheme="majorHAnsi" w:hAnsiTheme="majorHAnsi" w:cstheme="majorHAnsi"/>
          <w:b/>
          <w:i/>
          <w:color w:val="808080" w:themeColor="background1" w:themeShade="80"/>
          <w:sz w:val="20"/>
          <w:szCs w:val="20"/>
        </w:rPr>
        <w:t>contribution</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based</w:t>
      </w:r>
      <w:proofErr w:type="spellEnd"/>
      <w:r w:rsidRPr="004C0798">
        <w:rPr>
          <w:rFonts w:asciiTheme="majorHAnsi" w:hAnsiTheme="majorHAnsi" w:cstheme="majorHAnsi"/>
          <w:b/>
          <w:i/>
          <w:color w:val="808080" w:themeColor="background1" w:themeShade="80"/>
          <w:sz w:val="20"/>
          <w:szCs w:val="20"/>
        </w:rPr>
        <w:t xml:space="preserve"> on unit </w:t>
      </w:r>
      <w:proofErr w:type="spellStart"/>
      <w:r w:rsidRPr="004C0798">
        <w:rPr>
          <w:rFonts w:asciiTheme="majorHAnsi" w:hAnsiTheme="majorHAnsi" w:cstheme="majorHAnsi"/>
          <w:b/>
          <w:i/>
          <w:color w:val="808080" w:themeColor="background1" w:themeShade="80"/>
          <w:sz w:val="20"/>
          <w:szCs w:val="20"/>
        </w:rPr>
        <w:t>costs</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lump</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sums</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and</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flat</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rates</w:t>
      </w:r>
      <w:proofErr w:type="spellEnd"/>
      <w:r w:rsidRPr="004C0798">
        <w:rPr>
          <w:rFonts w:asciiTheme="majorHAnsi" w:hAnsiTheme="majorHAnsi" w:cstheme="majorHAnsi"/>
          <w:b/>
          <w:i/>
          <w:color w:val="808080" w:themeColor="background1" w:themeShade="80"/>
          <w:sz w:val="20"/>
          <w:szCs w:val="20"/>
        </w:rPr>
        <w:t>]</w:t>
      </w:r>
      <w:r w:rsidRPr="004C0798">
        <w:rPr>
          <w:rFonts w:asciiTheme="majorHAnsi" w:hAnsiTheme="majorHAnsi" w:cstheme="majorHAnsi"/>
          <w:b/>
          <w:i/>
          <w:color w:val="808080" w:themeColor="background1" w:themeShade="80"/>
          <w:sz w:val="20"/>
          <w:szCs w:val="20"/>
          <w:vertAlign w:val="superscript"/>
        </w:rPr>
        <w:footnoteReference w:id="7"/>
      </w:r>
      <w:r w:rsidRPr="004C0798">
        <w:rPr>
          <w:rFonts w:asciiTheme="majorHAnsi" w:hAnsiTheme="majorHAnsi" w:cstheme="majorHAnsi"/>
          <w:b/>
          <w:color w:val="808080" w:themeColor="background1" w:themeShade="80"/>
          <w:sz w:val="20"/>
          <w:szCs w:val="20"/>
        </w:rPr>
        <w:t xml:space="preserve"> </w:t>
      </w:r>
    </w:p>
    <w:p w14:paraId="76252C36" w14:textId="77777777" w:rsidR="00EA37BF" w:rsidRPr="004C0798" w:rsidRDefault="00EA37BF" w:rsidP="00EA37BF">
      <w:pPr>
        <w:spacing w:after="120" w:line="240" w:lineRule="auto"/>
        <w:rPr>
          <w:rFonts w:asciiTheme="majorHAnsi" w:hAnsiTheme="majorHAnsi" w:cstheme="majorHAnsi"/>
          <w:b/>
          <w:i/>
          <w:color w:val="808080" w:themeColor="background1" w:themeShade="80"/>
          <w:sz w:val="20"/>
          <w:szCs w:val="20"/>
        </w:rPr>
      </w:pPr>
    </w:p>
    <w:p w14:paraId="0B1E0211" w14:textId="77777777" w:rsidR="00EA37BF" w:rsidRPr="004C0798" w:rsidRDefault="00EA37BF" w:rsidP="00EA37BF">
      <w:pPr>
        <w:spacing w:after="120" w:line="240" w:lineRule="auto"/>
        <w:jc w:val="center"/>
        <w:rPr>
          <w:rFonts w:asciiTheme="majorHAnsi" w:hAnsiTheme="majorHAnsi" w:cstheme="majorHAnsi"/>
          <w:b/>
          <w:color w:val="808080" w:themeColor="background1" w:themeShade="80"/>
          <w:sz w:val="20"/>
          <w:szCs w:val="20"/>
          <w:u w:val="single"/>
        </w:rPr>
      </w:pPr>
      <w:proofErr w:type="spellStart"/>
      <w:r w:rsidRPr="004C0798">
        <w:rPr>
          <w:rFonts w:asciiTheme="majorHAnsi" w:hAnsiTheme="majorHAnsi" w:cstheme="majorHAnsi"/>
          <w:b/>
          <w:color w:val="808080" w:themeColor="background1" w:themeShade="80"/>
          <w:sz w:val="20"/>
          <w:szCs w:val="20"/>
          <w:u w:val="single"/>
        </w:rPr>
        <w:t>Template</w:t>
      </w:r>
      <w:proofErr w:type="spellEnd"/>
      <w:r w:rsidRPr="004C0798">
        <w:rPr>
          <w:rFonts w:asciiTheme="majorHAnsi" w:hAnsiTheme="majorHAnsi" w:cstheme="majorHAnsi"/>
          <w:b/>
          <w:color w:val="808080" w:themeColor="background1" w:themeShade="80"/>
          <w:sz w:val="20"/>
          <w:szCs w:val="20"/>
          <w:u w:val="single"/>
        </w:rPr>
        <w:t xml:space="preserve"> for </w:t>
      </w:r>
      <w:proofErr w:type="spellStart"/>
      <w:r w:rsidRPr="004C0798">
        <w:rPr>
          <w:rFonts w:asciiTheme="majorHAnsi" w:hAnsiTheme="majorHAnsi" w:cstheme="majorHAnsi"/>
          <w:b/>
          <w:color w:val="808080" w:themeColor="background1" w:themeShade="80"/>
          <w:sz w:val="20"/>
          <w:szCs w:val="20"/>
          <w:u w:val="single"/>
        </w:rPr>
        <w:t>submitting</w:t>
      </w:r>
      <w:proofErr w:type="spellEnd"/>
      <w:r w:rsidRPr="004C0798">
        <w:rPr>
          <w:rFonts w:asciiTheme="majorHAnsi" w:hAnsiTheme="majorHAnsi" w:cstheme="majorHAnsi"/>
          <w:b/>
          <w:color w:val="808080" w:themeColor="background1" w:themeShade="80"/>
          <w:sz w:val="20"/>
          <w:szCs w:val="20"/>
          <w:u w:val="single"/>
        </w:rPr>
        <w:t xml:space="preserve"> data for the </w:t>
      </w:r>
      <w:proofErr w:type="spellStart"/>
      <w:r w:rsidRPr="004C0798">
        <w:rPr>
          <w:rFonts w:asciiTheme="majorHAnsi" w:hAnsiTheme="majorHAnsi" w:cstheme="majorHAnsi"/>
          <w:b/>
          <w:color w:val="808080" w:themeColor="background1" w:themeShade="80"/>
          <w:sz w:val="20"/>
          <w:szCs w:val="20"/>
          <w:u w:val="single"/>
        </w:rPr>
        <w:t>consideration</w:t>
      </w:r>
      <w:proofErr w:type="spellEnd"/>
      <w:r w:rsidRPr="004C0798">
        <w:rPr>
          <w:rFonts w:asciiTheme="majorHAnsi" w:hAnsiTheme="majorHAnsi" w:cstheme="majorHAnsi"/>
          <w:b/>
          <w:color w:val="808080" w:themeColor="background1" w:themeShade="80"/>
          <w:sz w:val="20"/>
          <w:szCs w:val="20"/>
          <w:u w:val="single"/>
        </w:rPr>
        <w:t xml:space="preserve"> of the </w:t>
      </w:r>
      <w:proofErr w:type="spellStart"/>
      <w:r w:rsidRPr="004C0798">
        <w:rPr>
          <w:rFonts w:asciiTheme="majorHAnsi" w:hAnsiTheme="majorHAnsi" w:cstheme="majorHAnsi"/>
          <w:b/>
          <w:color w:val="808080" w:themeColor="background1" w:themeShade="80"/>
          <w:sz w:val="20"/>
          <w:szCs w:val="20"/>
          <w:u w:val="single"/>
        </w:rPr>
        <w:t>Commission</w:t>
      </w:r>
      <w:proofErr w:type="spellEnd"/>
    </w:p>
    <w:p w14:paraId="1941EFC4" w14:textId="77777777" w:rsidR="00EA37BF" w:rsidRPr="004C0798" w:rsidRDefault="00EA37BF" w:rsidP="00EA37BF">
      <w:pPr>
        <w:spacing w:after="120" w:line="240" w:lineRule="auto"/>
        <w:jc w:val="center"/>
        <w:rPr>
          <w:rFonts w:asciiTheme="majorHAnsi" w:hAnsiTheme="majorHAnsi" w:cstheme="majorHAnsi"/>
          <w:b/>
          <w:i/>
          <w:color w:val="808080" w:themeColor="background1" w:themeShade="80"/>
          <w:sz w:val="20"/>
          <w:szCs w:val="20"/>
        </w:rPr>
      </w:pPr>
      <w:r w:rsidRPr="004C0798">
        <w:rPr>
          <w:rFonts w:asciiTheme="majorHAnsi" w:hAnsiTheme="majorHAnsi" w:cstheme="majorHAnsi"/>
          <w:b/>
          <w:color w:val="808080" w:themeColor="background1" w:themeShade="80"/>
          <w:sz w:val="20"/>
          <w:szCs w:val="20"/>
          <w:u w:val="single"/>
        </w:rPr>
        <w:t>(</w:t>
      </w:r>
      <w:proofErr w:type="spellStart"/>
      <w:r w:rsidRPr="004C0798">
        <w:rPr>
          <w:rFonts w:asciiTheme="majorHAnsi" w:hAnsiTheme="majorHAnsi" w:cstheme="majorHAnsi"/>
          <w:b/>
          <w:color w:val="808080" w:themeColor="background1" w:themeShade="80"/>
          <w:sz w:val="20"/>
          <w:szCs w:val="20"/>
          <w:u w:val="single"/>
        </w:rPr>
        <w:t>Article</w:t>
      </w:r>
      <w:proofErr w:type="spellEnd"/>
      <w:r w:rsidRPr="004C0798">
        <w:rPr>
          <w:rFonts w:asciiTheme="majorHAnsi" w:hAnsiTheme="majorHAnsi" w:cstheme="majorHAnsi"/>
          <w:b/>
          <w:color w:val="808080" w:themeColor="background1" w:themeShade="80"/>
          <w:sz w:val="20"/>
          <w:szCs w:val="20"/>
          <w:u w:val="single"/>
        </w:rPr>
        <w:t xml:space="preserve"> 88)</w:t>
      </w:r>
    </w:p>
    <w:p w14:paraId="1197DE6A" w14:textId="77777777" w:rsidR="00EA37BF" w:rsidRPr="004C0798" w:rsidRDefault="00EA37BF" w:rsidP="00EA37BF">
      <w:pPr>
        <w:spacing w:after="120" w:line="240" w:lineRule="auto"/>
        <w:jc w:val="center"/>
        <w:rPr>
          <w:rFonts w:asciiTheme="majorHAnsi" w:hAnsiTheme="majorHAnsi" w:cstheme="majorHAnsi"/>
          <w:color w:val="808080" w:themeColor="background1" w:themeShade="80"/>
          <w:sz w:val="20"/>
          <w:szCs w:val="20"/>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644"/>
      </w:tblGrid>
      <w:tr w:rsidR="00EA37BF" w:rsidRPr="004C0798" w14:paraId="10144455" w14:textId="77777777" w:rsidTr="00861438">
        <w:tc>
          <w:tcPr>
            <w:tcW w:w="4644" w:type="dxa"/>
            <w:shd w:val="clear" w:color="auto" w:fill="auto"/>
          </w:tcPr>
          <w:p w14:paraId="0A3C426E"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Date of </w:t>
            </w:r>
            <w:proofErr w:type="spellStart"/>
            <w:r w:rsidRPr="004C0798">
              <w:rPr>
                <w:rFonts w:asciiTheme="majorHAnsi" w:hAnsiTheme="majorHAnsi" w:cstheme="majorHAnsi"/>
                <w:color w:val="808080" w:themeColor="background1" w:themeShade="80"/>
                <w:sz w:val="20"/>
                <w:szCs w:val="20"/>
              </w:rPr>
              <w:t>submitting</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proposal</w:t>
            </w:r>
            <w:proofErr w:type="spellEnd"/>
          </w:p>
        </w:tc>
        <w:tc>
          <w:tcPr>
            <w:tcW w:w="4644" w:type="dxa"/>
            <w:shd w:val="clear" w:color="auto" w:fill="auto"/>
          </w:tcPr>
          <w:p w14:paraId="44CD3919"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r w:rsidR="00EA37BF" w:rsidRPr="004C0798" w14:paraId="26CF0755" w14:textId="77777777" w:rsidTr="00861438">
        <w:tc>
          <w:tcPr>
            <w:tcW w:w="4644" w:type="dxa"/>
            <w:shd w:val="clear" w:color="auto" w:fill="auto"/>
          </w:tcPr>
          <w:p w14:paraId="748E38F5"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Current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version</w:t>
            </w:r>
            <w:proofErr w:type="spellEnd"/>
            <w:r w:rsidRPr="004C0798">
              <w:rPr>
                <w:rFonts w:asciiTheme="majorHAnsi" w:hAnsiTheme="majorHAnsi" w:cstheme="majorHAnsi"/>
                <w:color w:val="808080" w:themeColor="background1" w:themeShade="80"/>
                <w:sz w:val="20"/>
                <w:szCs w:val="20"/>
              </w:rPr>
              <w:t xml:space="preserve"> </w:t>
            </w:r>
          </w:p>
        </w:tc>
        <w:tc>
          <w:tcPr>
            <w:tcW w:w="4644" w:type="dxa"/>
            <w:shd w:val="clear" w:color="auto" w:fill="auto"/>
          </w:tcPr>
          <w:p w14:paraId="0F2C052B"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bl>
    <w:p w14:paraId="6F591102" w14:textId="77777777" w:rsidR="00EA37BF" w:rsidRPr="004C0798" w:rsidRDefault="00EA37BF" w:rsidP="00EA37BF">
      <w:pPr>
        <w:spacing w:after="120" w:line="240" w:lineRule="auto"/>
        <w:rPr>
          <w:rFonts w:asciiTheme="majorHAnsi" w:hAnsiTheme="majorHAnsi" w:cstheme="majorHAnsi"/>
          <w:color w:val="808080" w:themeColor="background1" w:themeShade="80"/>
          <w:sz w:val="20"/>
          <w:szCs w:val="20"/>
        </w:rPr>
        <w:sectPr w:rsidR="00EA37BF" w:rsidRPr="004C0798" w:rsidSect="004C0798">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134" w:header="567" w:footer="567" w:gutter="0"/>
          <w:pgNumType w:start="1"/>
          <w:cols w:space="708"/>
        </w:sectPr>
      </w:pPr>
    </w:p>
    <w:p w14:paraId="46EE5E5B" w14:textId="77777777" w:rsidR="00EA37BF" w:rsidRPr="004C0798" w:rsidRDefault="00EA37BF" w:rsidP="00EA37BF">
      <w:pPr>
        <w:spacing w:after="120" w:line="240" w:lineRule="auto"/>
        <w:rPr>
          <w:rFonts w:asciiTheme="majorHAnsi" w:hAnsiTheme="majorHAnsi" w:cstheme="majorHAnsi"/>
          <w:b/>
          <w:color w:val="808080" w:themeColor="background1" w:themeShade="80"/>
          <w:sz w:val="20"/>
          <w:szCs w:val="20"/>
          <w:u w:val="single"/>
        </w:rPr>
      </w:pPr>
      <w:r w:rsidRPr="004C0798">
        <w:rPr>
          <w:rFonts w:asciiTheme="majorHAnsi" w:hAnsiTheme="majorHAnsi" w:cstheme="majorHAnsi"/>
          <w:b/>
          <w:color w:val="808080" w:themeColor="background1" w:themeShade="80"/>
          <w:sz w:val="20"/>
          <w:szCs w:val="20"/>
          <w:u w:val="single"/>
        </w:rPr>
        <w:lastRenderedPageBreak/>
        <w:t>A.</w:t>
      </w:r>
      <w:r w:rsidRPr="004C0798">
        <w:rPr>
          <w:rFonts w:asciiTheme="majorHAnsi" w:hAnsiTheme="majorHAnsi" w:cstheme="majorHAnsi"/>
          <w:b/>
          <w:color w:val="808080" w:themeColor="background1" w:themeShade="80"/>
          <w:sz w:val="20"/>
          <w:szCs w:val="20"/>
          <w:u w:val="single"/>
        </w:rPr>
        <w:tab/>
      </w:r>
      <w:proofErr w:type="spellStart"/>
      <w:r w:rsidRPr="004C0798">
        <w:rPr>
          <w:rFonts w:asciiTheme="majorHAnsi" w:hAnsiTheme="majorHAnsi" w:cstheme="majorHAnsi"/>
          <w:b/>
          <w:color w:val="808080" w:themeColor="background1" w:themeShade="80"/>
          <w:sz w:val="20"/>
          <w:szCs w:val="20"/>
          <w:u w:val="single"/>
        </w:rPr>
        <w:t>Summary</w:t>
      </w:r>
      <w:proofErr w:type="spellEnd"/>
      <w:r w:rsidRPr="004C0798">
        <w:rPr>
          <w:rFonts w:asciiTheme="majorHAnsi" w:hAnsiTheme="majorHAnsi" w:cstheme="majorHAnsi"/>
          <w:b/>
          <w:color w:val="808080" w:themeColor="background1" w:themeShade="80"/>
          <w:sz w:val="20"/>
          <w:szCs w:val="20"/>
          <w:u w:val="single"/>
        </w:rPr>
        <w:t xml:space="preserve"> of the </w:t>
      </w:r>
      <w:proofErr w:type="spellStart"/>
      <w:r w:rsidRPr="004C0798">
        <w:rPr>
          <w:rFonts w:asciiTheme="majorHAnsi" w:hAnsiTheme="majorHAnsi" w:cstheme="majorHAnsi"/>
          <w:b/>
          <w:color w:val="808080" w:themeColor="background1" w:themeShade="80"/>
          <w:sz w:val="20"/>
          <w:szCs w:val="20"/>
          <w:u w:val="single"/>
        </w:rPr>
        <w:t>main</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elements</w:t>
      </w:r>
      <w:proofErr w:type="spellEnd"/>
      <w:r w:rsidRPr="004C0798">
        <w:rPr>
          <w:rFonts w:asciiTheme="majorHAnsi" w:hAnsiTheme="majorHAnsi" w:cstheme="majorHAnsi"/>
          <w:b/>
          <w:color w:val="808080" w:themeColor="background1" w:themeShade="80"/>
          <w:sz w:val="20"/>
          <w:szCs w:val="20"/>
          <w:u w:val="single"/>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6"/>
        <w:gridCol w:w="856"/>
        <w:gridCol w:w="1033"/>
        <w:gridCol w:w="647"/>
        <w:gridCol w:w="1069"/>
        <w:gridCol w:w="647"/>
        <w:gridCol w:w="1102"/>
        <w:gridCol w:w="1244"/>
        <w:gridCol w:w="948"/>
        <w:gridCol w:w="1286"/>
      </w:tblGrid>
      <w:tr w:rsidR="00EA37BF" w:rsidRPr="004C0798" w14:paraId="2D7EF8FC" w14:textId="77777777" w:rsidTr="00861438">
        <w:trPr>
          <w:jc w:val="center"/>
        </w:trPr>
        <w:tc>
          <w:tcPr>
            <w:tcW w:w="1145" w:type="dxa"/>
            <w:vAlign w:val="center"/>
          </w:tcPr>
          <w:p w14:paraId="41A6A0CD" w14:textId="77777777" w:rsidR="00EA37BF" w:rsidRPr="004C0798" w:rsidRDefault="00EA37BF" w:rsidP="00861438">
            <w:pPr>
              <w:spacing w:after="120" w:line="240" w:lineRule="auto"/>
              <w:jc w:val="center"/>
              <w:rPr>
                <w:rFonts w:asciiTheme="majorHAnsi" w:hAnsiTheme="majorHAnsi" w:cstheme="majorHAnsi"/>
                <w:b/>
                <w:strike/>
                <w:color w:val="808080" w:themeColor="background1" w:themeShade="80"/>
                <w:sz w:val="20"/>
                <w:szCs w:val="20"/>
              </w:rPr>
            </w:pPr>
          </w:p>
          <w:p w14:paraId="3073A6D9" w14:textId="77777777" w:rsidR="00EA37BF" w:rsidRPr="004C0798" w:rsidRDefault="00EA37BF" w:rsidP="00861438">
            <w:pPr>
              <w:spacing w:after="120" w:line="240" w:lineRule="auto"/>
              <w:jc w:val="center"/>
              <w:rPr>
                <w:rFonts w:asciiTheme="majorHAnsi" w:hAnsiTheme="majorHAnsi" w:cstheme="majorHAnsi"/>
                <w:b/>
                <w:i/>
                <w:color w:val="808080" w:themeColor="background1" w:themeShade="80"/>
                <w:sz w:val="20"/>
                <w:szCs w:val="20"/>
              </w:rPr>
            </w:pPr>
            <w:r w:rsidRPr="004C0798">
              <w:rPr>
                <w:rFonts w:asciiTheme="majorHAnsi" w:hAnsiTheme="majorHAnsi" w:cstheme="majorHAnsi"/>
                <w:b/>
                <w:i/>
                <w:color w:val="808080" w:themeColor="background1" w:themeShade="80"/>
                <w:sz w:val="20"/>
                <w:szCs w:val="20"/>
              </w:rPr>
              <w:t>Fund</w:t>
            </w:r>
            <w:r w:rsidRPr="004C0798">
              <w:rPr>
                <w:rFonts w:asciiTheme="majorHAnsi" w:hAnsiTheme="majorHAnsi" w:cstheme="majorHAnsi"/>
                <w:b/>
                <w:i/>
                <w:color w:val="808080" w:themeColor="background1" w:themeShade="80"/>
                <w:sz w:val="20"/>
                <w:szCs w:val="20"/>
                <w:vertAlign w:val="superscript"/>
              </w:rPr>
              <w:footnoteReference w:id="8"/>
            </w:r>
          </w:p>
        </w:tc>
        <w:tc>
          <w:tcPr>
            <w:tcW w:w="1243" w:type="dxa"/>
            <w:vAlign w:val="center"/>
          </w:tcPr>
          <w:p w14:paraId="5FD4AC85" w14:textId="77777777" w:rsidR="00EA37BF" w:rsidRPr="004C0798" w:rsidRDefault="00EA37BF" w:rsidP="00861438">
            <w:pPr>
              <w:spacing w:after="120" w:line="240" w:lineRule="auto"/>
              <w:jc w:val="center"/>
              <w:rPr>
                <w:rFonts w:asciiTheme="majorHAnsi" w:hAnsiTheme="majorHAnsi" w:cstheme="majorHAnsi"/>
                <w:b/>
                <w:i/>
                <w:color w:val="808080" w:themeColor="background1" w:themeShade="80"/>
                <w:sz w:val="20"/>
                <w:szCs w:val="20"/>
              </w:rPr>
            </w:pPr>
            <w:r w:rsidRPr="004C0798">
              <w:rPr>
                <w:rFonts w:asciiTheme="majorHAnsi" w:hAnsiTheme="majorHAnsi" w:cstheme="majorHAnsi"/>
                <w:b/>
                <w:i/>
                <w:color w:val="808080" w:themeColor="background1" w:themeShade="80"/>
                <w:sz w:val="20"/>
                <w:szCs w:val="20"/>
              </w:rPr>
              <w:t xml:space="preserve">Specific </w:t>
            </w:r>
            <w:proofErr w:type="spellStart"/>
            <w:r w:rsidRPr="004C0798">
              <w:rPr>
                <w:rFonts w:asciiTheme="majorHAnsi" w:hAnsiTheme="majorHAnsi" w:cstheme="majorHAnsi"/>
                <w:b/>
                <w:i/>
                <w:color w:val="808080" w:themeColor="background1" w:themeShade="80"/>
                <w:sz w:val="20"/>
                <w:szCs w:val="20"/>
              </w:rPr>
              <w:t>objective</w:t>
            </w:r>
            <w:proofErr w:type="spellEnd"/>
            <w:r w:rsidRPr="004C0798">
              <w:rPr>
                <w:rFonts w:asciiTheme="majorHAnsi" w:hAnsiTheme="majorHAnsi" w:cstheme="majorHAnsi"/>
                <w:b/>
                <w:i/>
                <w:color w:val="808080" w:themeColor="background1" w:themeShade="80"/>
                <w:sz w:val="20"/>
                <w:szCs w:val="20"/>
                <w:vertAlign w:val="superscript"/>
              </w:rPr>
              <w:footnoteReference w:id="9"/>
            </w:r>
          </w:p>
        </w:tc>
        <w:tc>
          <w:tcPr>
            <w:tcW w:w="1530" w:type="dxa"/>
            <w:vAlign w:val="center"/>
          </w:tcPr>
          <w:p w14:paraId="7CEB5469" w14:textId="77777777" w:rsidR="00EA37BF" w:rsidRPr="004C0798" w:rsidRDefault="00EA37BF" w:rsidP="00861438">
            <w:pPr>
              <w:spacing w:after="120" w:line="240" w:lineRule="auto"/>
              <w:jc w:val="center"/>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Estimated</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proportion</w:t>
            </w:r>
            <w:proofErr w:type="spellEnd"/>
            <w:r w:rsidRPr="004C0798">
              <w:rPr>
                <w:rFonts w:asciiTheme="majorHAnsi" w:hAnsiTheme="majorHAnsi" w:cstheme="majorHAnsi"/>
                <w:b/>
                <w:color w:val="808080" w:themeColor="background1" w:themeShade="80"/>
                <w:sz w:val="20"/>
                <w:szCs w:val="20"/>
              </w:rPr>
              <w:t xml:space="preserve"> of the total </w:t>
            </w:r>
            <w:proofErr w:type="spellStart"/>
            <w:r w:rsidRPr="004C0798">
              <w:rPr>
                <w:rFonts w:asciiTheme="majorHAnsi" w:hAnsiTheme="majorHAnsi" w:cstheme="majorHAnsi"/>
                <w:b/>
                <w:color w:val="808080" w:themeColor="background1" w:themeShade="80"/>
                <w:sz w:val="20"/>
                <w:szCs w:val="20"/>
              </w:rPr>
              <w:t>financial</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allocation</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within</w:t>
            </w:r>
            <w:proofErr w:type="spellEnd"/>
            <w:r w:rsidRPr="004C0798">
              <w:rPr>
                <w:rFonts w:asciiTheme="majorHAnsi" w:hAnsiTheme="majorHAnsi" w:cstheme="majorHAnsi"/>
                <w:b/>
                <w:color w:val="808080" w:themeColor="background1" w:themeShade="80"/>
                <w:sz w:val="20"/>
                <w:szCs w:val="20"/>
              </w:rPr>
              <w:t xml:space="preserve"> the </w:t>
            </w:r>
            <w:proofErr w:type="spellStart"/>
            <w:r w:rsidRPr="004C0798">
              <w:rPr>
                <w:rFonts w:asciiTheme="majorHAnsi" w:hAnsiTheme="majorHAnsi" w:cstheme="majorHAnsi"/>
                <w:b/>
                <w:color w:val="808080" w:themeColor="background1" w:themeShade="80"/>
                <w:sz w:val="20"/>
                <w:szCs w:val="20"/>
              </w:rPr>
              <w:t>priority</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to</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which</w:t>
            </w:r>
            <w:proofErr w:type="spellEnd"/>
            <w:r w:rsidRPr="004C0798">
              <w:rPr>
                <w:rFonts w:asciiTheme="majorHAnsi" w:hAnsiTheme="majorHAnsi" w:cstheme="majorHAnsi"/>
                <w:b/>
                <w:color w:val="808080" w:themeColor="background1" w:themeShade="80"/>
                <w:sz w:val="20"/>
                <w:szCs w:val="20"/>
              </w:rPr>
              <w:t xml:space="preserve"> the SCO </w:t>
            </w:r>
            <w:proofErr w:type="spellStart"/>
            <w:r w:rsidRPr="004C0798">
              <w:rPr>
                <w:rFonts w:asciiTheme="majorHAnsi" w:hAnsiTheme="majorHAnsi" w:cstheme="majorHAnsi"/>
                <w:b/>
                <w:color w:val="808080" w:themeColor="background1" w:themeShade="80"/>
                <w:sz w:val="20"/>
                <w:szCs w:val="20"/>
              </w:rPr>
              <w:t>will</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be</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applied</w:t>
            </w:r>
            <w:proofErr w:type="spellEnd"/>
            <w:r w:rsidRPr="004C0798">
              <w:rPr>
                <w:rFonts w:asciiTheme="majorHAnsi" w:hAnsiTheme="majorHAnsi" w:cstheme="majorHAnsi"/>
                <w:b/>
                <w:color w:val="808080" w:themeColor="background1" w:themeShade="80"/>
                <w:sz w:val="20"/>
                <w:szCs w:val="20"/>
              </w:rPr>
              <w:t xml:space="preserve"> in % (estimate)</w:t>
            </w:r>
          </w:p>
        </w:tc>
        <w:tc>
          <w:tcPr>
            <w:tcW w:w="2493" w:type="dxa"/>
            <w:gridSpan w:val="2"/>
            <w:shd w:val="clear" w:color="auto" w:fill="auto"/>
            <w:vAlign w:val="center"/>
          </w:tcPr>
          <w:p w14:paraId="6B124823" w14:textId="77777777" w:rsidR="00EA37BF" w:rsidRPr="004C0798" w:rsidRDefault="00EA37BF" w:rsidP="00861438">
            <w:pPr>
              <w:spacing w:after="120" w:line="240" w:lineRule="auto"/>
              <w:jc w:val="center"/>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Type</w:t>
            </w:r>
            <w:proofErr w:type="spellEnd"/>
            <w:r w:rsidRPr="004C0798">
              <w:rPr>
                <w:rFonts w:asciiTheme="majorHAnsi" w:hAnsiTheme="majorHAnsi" w:cstheme="majorHAnsi"/>
                <w:b/>
                <w:color w:val="808080" w:themeColor="background1" w:themeShade="80"/>
                <w:sz w:val="20"/>
                <w:szCs w:val="20"/>
              </w:rPr>
              <w:t xml:space="preserve">(s) of </w:t>
            </w:r>
            <w:proofErr w:type="spellStart"/>
            <w:r w:rsidRPr="004C0798">
              <w:rPr>
                <w:rFonts w:asciiTheme="majorHAnsi" w:hAnsiTheme="majorHAnsi" w:cstheme="majorHAnsi"/>
                <w:b/>
                <w:color w:val="808080" w:themeColor="background1" w:themeShade="80"/>
                <w:sz w:val="20"/>
                <w:szCs w:val="20"/>
              </w:rPr>
              <w:t>operation</w:t>
            </w:r>
            <w:proofErr w:type="spellEnd"/>
          </w:p>
        </w:tc>
        <w:tc>
          <w:tcPr>
            <w:tcW w:w="2547" w:type="dxa"/>
            <w:gridSpan w:val="2"/>
            <w:shd w:val="clear" w:color="auto" w:fill="auto"/>
            <w:vAlign w:val="center"/>
          </w:tcPr>
          <w:p w14:paraId="37665AA1" w14:textId="77777777" w:rsidR="00EA37BF" w:rsidRPr="004C0798" w:rsidRDefault="00EA37BF" w:rsidP="00861438">
            <w:pPr>
              <w:spacing w:after="120" w:line="240" w:lineRule="auto"/>
              <w:jc w:val="center"/>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Corresponding</w:t>
            </w:r>
            <w:proofErr w:type="spellEnd"/>
            <w:r w:rsidRPr="004C0798">
              <w:rPr>
                <w:rFonts w:asciiTheme="majorHAnsi" w:hAnsiTheme="majorHAnsi" w:cstheme="majorHAnsi"/>
                <w:b/>
                <w:color w:val="808080" w:themeColor="background1" w:themeShade="80"/>
                <w:sz w:val="20"/>
                <w:szCs w:val="20"/>
              </w:rPr>
              <w:t xml:space="preserve"> indicator </w:t>
            </w:r>
            <w:proofErr w:type="spellStart"/>
            <w:r w:rsidRPr="004C0798">
              <w:rPr>
                <w:rFonts w:asciiTheme="majorHAnsi" w:hAnsiTheme="majorHAnsi" w:cstheme="majorHAnsi"/>
                <w:b/>
                <w:color w:val="808080" w:themeColor="background1" w:themeShade="80"/>
                <w:sz w:val="20"/>
                <w:szCs w:val="20"/>
              </w:rPr>
              <w:t>name</w:t>
            </w:r>
            <w:proofErr w:type="spellEnd"/>
            <w:r w:rsidRPr="004C0798">
              <w:rPr>
                <w:rFonts w:asciiTheme="majorHAnsi" w:hAnsiTheme="majorHAnsi" w:cstheme="majorHAnsi"/>
                <w:b/>
                <w:color w:val="808080" w:themeColor="background1" w:themeShade="80"/>
                <w:sz w:val="20"/>
                <w:szCs w:val="20"/>
              </w:rPr>
              <w:t>(s)</w:t>
            </w:r>
          </w:p>
        </w:tc>
        <w:tc>
          <w:tcPr>
            <w:tcW w:w="1873" w:type="dxa"/>
            <w:shd w:val="clear" w:color="auto" w:fill="auto"/>
            <w:vAlign w:val="center"/>
          </w:tcPr>
          <w:p w14:paraId="6CAFAC53" w14:textId="77777777" w:rsidR="00EA37BF" w:rsidRPr="004C0798" w:rsidRDefault="00EA37BF" w:rsidP="00861438">
            <w:pPr>
              <w:spacing w:after="120" w:line="240" w:lineRule="auto"/>
              <w:jc w:val="center"/>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 xml:space="preserve">Unit of </w:t>
            </w:r>
            <w:proofErr w:type="spellStart"/>
            <w:r w:rsidRPr="004C0798">
              <w:rPr>
                <w:rFonts w:asciiTheme="majorHAnsi" w:hAnsiTheme="majorHAnsi" w:cstheme="majorHAnsi"/>
                <w:b/>
                <w:color w:val="808080" w:themeColor="background1" w:themeShade="80"/>
                <w:sz w:val="20"/>
                <w:szCs w:val="20"/>
              </w:rPr>
              <w:t>measurement</w:t>
            </w:r>
            <w:proofErr w:type="spellEnd"/>
            <w:r w:rsidRPr="004C0798">
              <w:rPr>
                <w:rFonts w:asciiTheme="majorHAnsi" w:hAnsiTheme="majorHAnsi" w:cstheme="majorHAnsi"/>
                <w:b/>
                <w:color w:val="808080" w:themeColor="background1" w:themeShade="80"/>
                <w:sz w:val="20"/>
                <w:szCs w:val="20"/>
              </w:rPr>
              <w:t xml:space="preserve"> for the indicator</w:t>
            </w:r>
          </w:p>
        </w:tc>
        <w:tc>
          <w:tcPr>
            <w:tcW w:w="1392" w:type="dxa"/>
            <w:vAlign w:val="center"/>
          </w:tcPr>
          <w:p w14:paraId="2A72E430" w14:textId="77777777" w:rsidR="00EA37BF" w:rsidRPr="004C0798" w:rsidRDefault="00EA37BF" w:rsidP="00861438">
            <w:pPr>
              <w:spacing w:after="120" w:line="240" w:lineRule="auto"/>
              <w:jc w:val="center"/>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Type</w:t>
            </w:r>
            <w:proofErr w:type="spellEnd"/>
            <w:r w:rsidRPr="004C0798">
              <w:rPr>
                <w:rFonts w:asciiTheme="majorHAnsi" w:hAnsiTheme="majorHAnsi" w:cstheme="majorHAnsi"/>
                <w:b/>
                <w:color w:val="808080" w:themeColor="background1" w:themeShade="80"/>
                <w:sz w:val="20"/>
                <w:szCs w:val="20"/>
              </w:rPr>
              <w:t xml:space="preserve"> of SCO (standard scale of unit </w:t>
            </w:r>
            <w:proofErr w:type="spellStart"/>
            <w:r w:rsidRPr="004C0798">
              <w:rPr>
                <w:rFonts w:asciiTheme="majorHAnsi" w:hAnsiTheme="majorHAnsi" w:cstheme="majorHAnsi"/>
                <w:b/>
                <w:color w:val="808080" w:themeColor="background1" w:themeShade="80"/>
                <w:sz w:val="20"/>
                <w:szCs w:val="20"/>
              </w:rPr>
              <w:t>costs</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lump</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sums</w:t>
            </w:r>
            <w:proofErr w:type="spellEnd"/>
            <w:r w:rsidRPr="004C0798">
              <w:rPr>
                <w:rFonts w:asciiTheme="majorHAnsi" w:hAnsiTheme="majorHAnsi" w:cstheme="majorHAnsi"/>
                <w:b/>
                <w:color w:val="808080" w:themeColor="background1" w:themeShade="80"/>
                <w:sz w:val="20"/>
                <w:szCs w:val="20"/>
              </w:rPr>
              <w:t xml:space="preserve"> or </w:t>
            </w:r>
            <w:proofErr w:type="spellStart"/>
            <w:r w:rsidRPr="004C0798">
              <w:rPr>
                <w:rFonts w:asciiTheme="majorHAnsi" w:hAnsiTheme="majorHAnsi" w:cstheme="majorHAnsi"/>
                <w:b/>
                <w:color w:val="808080" w:themeColor="background1" w:themeShade="80"/>
                <w:sz w:val="20"/>
                <w:szCs w:val="20"/>
              </w:rPr>
              <w:t>flat</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rates</w:t>
            </w:r>
            <w:proofErr w:type="spellEnd"/>
            <w:r w:rsidRPr="004C0798">
              <w:rPr>
                <w:rFonts w:asciiTheme="majorHAnsi" w:hAnsiTheme="majorHAnsi" w:cstheme="majorHAnsi"/>
                <w:b/>
                <w:color w:val="808080" w:themeColor="background1" w:themeShade="80"/>
                <w:sz w:val="20"/>
                <w:szCs w:val="20"/>
              </w:rPr>
              <w:t>)</w:t>
            </w:r>
          </w:p>
        </w:tc>
        <w:tc>
          <w:tcPr>
            <w:tcW w:w="1942" w:type="dxa"/>
            <w:shd w:val="clear" w:color="auto" w:fill="auto"/>
            <w:vAlign w:val="center"/>
          </w:tcPr>
          <w:p w14:paraId="14A8DEFB" w14:textId="77777777" w:rsidR="00EA37BF" w:rsidRPr="004C0798" w:rsidRDefault="00EA37BF" w:rsidP="00861438">
            <w:pPr>
              <w:spacing w:after="120" w:line="240" w:lineRule="auto"/>
              <w:jc w:val="center"/>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Corresponding</w:t>
            </w:r>
            <w:proofErr w:type="spellEnd"/>
            <w:r w:rsidRPr="004C0798">
              <w:rPr>
                <w:rFonts w:asciiTheme="majorHAnsi" w:hAnsiTheme="majorHAnsi" w:cstheme="majorHAnsi"/>
                <w:b/>
                <w:color w:val="808080" w:themeColor="background1" w:themeShade="80"/>
                <w:sz w:val="20"/>
                <w:szCs w:val="20"/>
              </w:rPr>
              <w:t xml:space="preserve"> standard </w:t>
            </w:r>
            <w:proofErr w:type="spellStart"/>
            <w:r w:rsidRPr="004C0798">
              <w:rPr>
                <w:rFonts w:asciiTheme="majorHAnsi" w:hAnsiTheme="majorHAnsi" w:cstheme="majorHAnsi"/>
                <w:b/>
                <w:color w:val="808080" w:themeColor="background1" w:themeShade="80"/>
                <w:sz w:val="20"/>
                <w:szCs w:val="20"/>
              </w:rPr>
              <w:t>scales</w:t>
            </w:r>
            <w:proofErr w:type="spellEnd"/>
            <w:r w:rsidRPr="004C0798">
              <w:rPr>
                <w:rFonts w:asciiTheme="majorHAnsi" w:hAnsiTheme="majorHAnsi" w:cstheme="majorHAnsi"/>
                <w:b/>
                <w:color w:val="808080" w:themeColor="background1" w:themeShade="80"/>
                <w:sz w:val="20"/>
                <w:szCs w:val="20"/>
              </w:rPr>
              <w:t xml:space="preserve"> of unit </w:t>
            </w:r>
            <w:proofErr w:type="spellStart"/>
            <w:r w:rsidRPr="004C0798">
              <w:rPr>
                <w:rFonts w:asciiTheme="majorHAnsi" w:hAnsiTheme="majorHAnsi" w:cstheme="majorHAnsi"/>
                <w:b/>
                <w:color w:val="808080" w:themeColor="background1" w:themeShade="80"/>
                <w:sz w:val="20"/>
                <w:szCs w:val="20"/>
              </w:rPr>
              <w:t>costs</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lump</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sums</w:t>
            </w:r>
            <w:proofErr w:type="spellEnd"/>
            <w:r w:rsidRPr="004C0798">
              <w:rPr>
                <w:rFonts w:asciiTheme="majorHAnsi" w:hAnsiTheme="majorHAnsi" w:cstheme="majorHAnsi"/>
                <w:b/>
                <w:color w:val="808080" w:themeColor="background1" w:themeShade="80"/>
                <w:sz w:val="20"/>
                <w:szCs w:val="20"/>
              </w:rPr>
              <w:t xml:space="preserve"> or </w:t>
            </w:r>
            <w:proofErr w:type="spellStart"/>
            <w:r w:rsidRPr="004C0798">
              <w:rPr>
                <w:rFonts w:asciiTheme="majorHAnsi" w:hAnsiTheme="majorHAnsi" w:cstheme="majorHAnsi"/>
                <w:b/>
                <w:color w:val="808080" w:themeColor="background1" w:themeShade="80"/>
                <w:sz w:val="20"/>
                <w:szCs w:val="20"/>
              </w:rPr>
              <w:t>flat</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rates</w:t>
            </w:r>
            <w:proofErr w:type="spellEnd"/>
          </w:p>
        </w:tc>
      </w:tr>
      <w:tr w:rsidR="00EA37BF" w:rsidRPr="004C0798" w14:paraId="711EBA88" w14:textId="77777777" w:rsidTr="00861438">
        <w:trPr>
          <w:jc w:val="center"/>
        </w:trPr>
        <w:tc>
          <w:tcPr>
            <w:tcW w:w="1145" w:type="dxa"/>
            <w:vAlign w:val="center"/>
          </w:tcPr>
          <w:p w14:paraId="7B229F0E"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1243" w:type="dxa"/>
            <w:vAlign w:val="center"/>
          </w:tcPr>
          <w:p w14:paraId="7A3CCF2C"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1530" w:type="dxa"/>
            <w:vAlign w:val="center"/>
          </w:tcPr>
          <w:p w14:paraId="09E4CB31"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904" w:type="dxa"/>
            <w:shd w:val="clear" w:color="auto" w:fill="auto"/>
            <w:vAlign w:val="center"/>
          </w:tcPr>
          <w:p w14:paraId="2953C230"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Code</w:t>
            </w:r>
          </w:p>
        </w:tc>
        <w:tc>
          <w:tcPr>
            <w:tcW w:w="1589" w:type="dxa"/>
            <w:vAlign w:val="center"/>
          </w:tcPr>
          <w:p w14:paraId="0D4D656F"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Description</w:t>
            </w:r>
            <w:proofErr w:type="spellEnd"/>
          </w:p>
        </w:tc>
        <w:tc>
          <w:tcPr>
            <w:tcW w:w="904" w:type="dxa"/>
            <w:shd w:val="clear" w:color="auto" w:fill="auto"/>
            <w:vAlign w:val="center"/>
          </w:tcPr>
          <w:p w14:paraId="6D391D6D"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Code </w:t>
            </w:r>
          </w:p>
        </w:tc>
        <w:tc>
          <w:tcPr>
            <w:tcW w:w="1643" w:type="dxa"/>
            <w:vAlign w:val="center"/>
          </w:tcPr>
          <w:p w14:paraId="432AD117"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Description</w:t>
            </w:r>
            <w:proofErr w:type="spellEnd"/>
          </w:p>
        </w:tc>
        <w:tc>
          <w:tcPr>
            <w:tcW w:w="1873" w:type="dxa"/>
            <w:shd w:val="clear" w:color="auto" w:fill="auto"/>
            <w:vAlign w:val="center"/>
          </w:tcPr>
          <w:p w14:paraId="5CA427CF"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1392" w:type="dxa"/>
            <w:vAlign w:val="center"/>
          </w:tcPr>
          <w:p w14:paraId="209822D7"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1942" w:type="dxa"/>
            <w:shd w:val="clear" w:color="auto" w:fill="auto"/>
            <w:vAlign w:val="center"/>
          </w:tcPr>
          <w:p w14:paraId="077D6880"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r>
      <w:tr w:rsidR="00EA37BF" w:rsidRPr="004C0798" w14:paraId="5676327B" w14:textId="77777777" w:rsidTr="00861438">
        <w:trPr>
          <w:jc w:val="center"/>
        </w:trPr>
        <w:tc>
          <w:tcPr>
            <w:tcW w:w="1145" w:type="dxa"/>
            <w:vAlign w:val="center"/>
          </w:tcPr>
          <w:p w14:paraId="42E6F0E9" w14:textId="77777777" w:rsidR="00EA37BF" w:rsidRPr="004C0798" w:rsidRDefault="00EA37BF" w:rsidP="00861438">
            <w:pPr>
              <w:spacing w:after="120" w:line="240" w:lineRule="auto"/>
              <w:jc w:val="center"/>
              <w:rPr>
                <w:rFonts w:asciiTheme="majorHAnsi" w:hAnsiTheme="majorHAnsi" w:cstheme="majorHAnsi"/>
                <w:b/>
                <w:i/>
                <w:color w:val="808080" w:themeColor="background1" w:themeShade="80"/>
                <w:sz w:val="20"/>
                <w:szCs w:val="20"/>
              </w:rPr>
            </w:pPr>
          </w:p>
        </w:tc>
        <w:tc>
          <w:tcPr>
            <w:tcW w:w="1243" w:type="dxa"/>
            <w:vAlign w:val="center"/>
          </w:tcPr>
          <w:p w14:paraId="30B4FE13" w14:textId="77777777" w:rsidR="00EA37BF" w:rsidRPr="004C0798" w:rsidRDefault="00EA37BF" w:rsidP="00861438">
            <w:pPr>
              <w:spacing w:after="120" w:line="240" w:lineRule="auto"/>
              <w:jc w:val="center"/>
              <w:rPr>
                <w:rFonts w:asciiTheme="majorHAnsi" w:hAnsiTheme="majorHAnsi" w:cstheme="majorHAnsi"/>
                <w:b/>
                <w:i/>
                <w:color w:val="808080" w:themeColor="background1" w:themeShade="80"/>
                <w:sz w:val="20"/>
                <w:szCs w:val="20"/>
              </w:rPr>
            </w:pPr>
          </w:p>
        </w:tc>
        <w:tc>
          <w:tcPr>
            <w:tcW w:w="1530" w:type="dxa"/>
            <w:vAlign w:val="center"/>
          </w:tcPr>
          <w:p w14:paraId="2A83FA2B" w14:textId="77777777" w:rsidR="00EA37BF" w:rsidRPr="004C0798" w:rsidRDefault="00EA37BF" w:rsidP="00861438">
            <w:pPr>
              <w:spacing w:after="120" w:line="240" w:lineRule="auto"/>
              <w:jc w:val="center"/>
              <w:rPr>
                <w:rFonts w:asciiTheme="majorHAnsi" w:hAnsiTheme="majorHAnsi" w:cstheme="majorHAnsi"/>
                <w:b/>
                <w:i/>
                <w:color w:val="808080" w:themeColor="background1" w:themeShade="80"/>
                <w:sz w:val="20"/>
                <w:szCs w:val="20"/>
              </w:rPr>
            </w:pPr>
          </w:p>
        </w:tc>
        <w:tc>
          <w:tcPr>
            <w:tcW w:w="904" w:type="dxa"/>
            <w:shd w:val="clear" w:color="auto" w:fill="auto"/>
            <w:vAlign w:val="center"/>
          </w:tcPr>
          <w:p w14:paraId="2421003D" w14:textId="77777777" w:rsidR="00EA37BF" w:rsidRPr="004C0798" w:rsidRDefault="00EA37BF" w:rsidP="00861438">
            <w:pPr>
              <w:spacing w:after="120" w:line="240" w:lineRule="auto"/>
              <w:jc w:val="center"/>
              <w:rPr>
                <w:rFonts w:asciiTheme="majorHAnsi" w:hAnsiTheme="majorHAnsi" w:cstheme="majorHAnsi"/>
                <w:i/>
                <w:color w:val="808080" w:themeColor="background1" w:themeShade="80"/>
                <w:sz w:val="20"/>
                <w:szCs w:val="20"/>
              </w:rPr>
            </w:pPr>
          </w:p>
        </w:tc>
        <w:tc>
          <w:tcPr>
            <w:tcW w:w="1589" w:type="dxa"/>
            <w:vAlign w:val="center"/>
          </w:tcPr>
          <w:p w14:paraId="2112FBFA" w14:textId="77777777" w:rsidR="00EA37BF" w:rsidRPr="004C0798" w:rsidRDefault="00EA37BF" w:rsidP="00861438">
            <w:pPr>
              <w:spacing w:after="120" w:line="240" w:lineRule="auto"/>
              <w:jc w:val="center"/>
              <w:rPr>
                <w:rFonts w:asciiTheme="majorHAnsi" w:hAnsiTheme="majorHAnsi" w:cstheme="majorHAnsi"/>
                <w:i/>
                <w:color w:val="808080" w:themeColor="background1" w:themeShade="80"/>
                <w:sz w:val="20"/>
                <w:szCs w:val="20"/>
              </w:rPr>
            </w:pPr>
          </w:p>
        </w:tc>
        <w:tc>
          <w:tcPr>
            <w:tcW w:w="904" w:type="dxa"/>
            <w:shd w:val="clear" w:color="auto" w:fill="auto"/>
            <w:vAlign w:val="center"/>
          </w:tcPr>
          <w:p w14:paraId="70597B29" w14:textId="77777777" w:rsidR="00EA37BF" w:rsidRPr="004C0798" w:rsidRDefault="00EA37BF" w:rsidP="00861438">
            <w:pPr>
              <w:spacing w:after="120" w:line="240" w:lineRule="auto"/>
              <w:jc w:val="center"/>
              <w:rPr>
                <w:rFonts w:asciiTheme="majorHAnsi" w:hAnsiTheme="majorHAnsi" w:cstheme="majorHAnsi"/>
                <w:i/>
                <w:color w:val="808080" w:themeColor="background1" w:themeShade="80"/>
                <w:sz w:val="20"/>
                <w:szCs w:val="20"/>
              </w:rPr>
            </w:pPr>
          </w:p>
        </w:tc>
        <w:tc>
          <w:tcPr>
            <w:tcW w:w="1643" w:type="dxa"/>
            <w:vAlign w:val="center"/>
          </w:tcPr>
          <w:p w14:paraId="33D6CFD4" w14:textId="77777777" w:rsidR="00EA37BF" w:rsidRPr="004C0798" w:rsidRDefault="00EA37BF" w:rsidP="00861438">
            <w:pPr>
              <w:spacing w:after="120" w:line="240" w:lineRule="auto"/>
              <w:jc w:val="center"/>
              <w:rPr>
                <w:rFonts w:asciiTheme="majorHAnsi" w:hAnsiTheme="majorHAnsi" w:cstheme="majorHAnsi"/>
                <w:i/>
                <w:color w:val="808080" w:themeColor="background1" w:themeShade="80"/>
                <w:sz w:val="20"/>
                <w:szCs w:val="20"/>
              </w:rPr>
            </w:pPr>
          </w:p>
        </w:tc>
        <w:tc>
          <w:tcPr>
            <w:tcW w:w="1873" w:type="dxa"/>
            <w:shd w:val="clear" w:color="auto" w:fill="auto"/>
            <w:vAlign w:val="center"/>
          </w:tcPr>
          <w:p w14:paraId="52EFBC46" w14:textId="77777777" w:rsidR="00EA37BF" w:rsidRPr="004C0798" w:rsidRDefault="00EA37BF" w:rsidP="00861438">
            <w:pPr>
              <w:spacing w:after="120" w:line="240" w:lineRule="auto"/>
              <w:jc w:val="center"/>
              <w:rPr>
                <w:rFonts w:asciiTheme="majorHAnsi" w:hAnsiTheme="majorHAnsi" w:cstheme="majorHAnsi"/>
                <w:i/>
                <w:color w:val="808080" w:themeColor="background1" w:themeShade="80"/>
                <w:sz w:val="20"/>
                <w:szCs w:val="20"/>
              </w:rPr>
            </w:pPr>
          </w:p>
        </w:tc>
        <w:tc>
          <w:tcPr>
            <w:tcW w:w="1392" w:type="dxa"/>
            <w:vAlign w:val="center"/>
          </w:tcPr>
          <w:p w14:paraId="5216B57A" w14:textId="77777777" w:rsidR="00EA37BF" w:rsidRPr="004C0798" w:rsidRDefault="00EA37BF" w:rsidP="00861438">
            <w:pPr>
              <w:spacing w:after="120" w:line="240" w:lineRule="auto"/>
              <w:jc w:val="center"/>
              <w:rPr>
                <w:rFonts w:asciiTheme="majorHAnsi" w:hAnsiTheme="majorHAnsi" w:cstheme="majorHAnsi"/>
                <w:i/>
                <w:color w:val="808080" w:themeColor="background1" w:themeShade="80"/>
                <w:sz w:val="20"/>
                <w:szCs w:val="20"/>
              </w:rPr>
            </w:pPr>
          </w:p>
        </w:tc>
        <w:tc>
          <w:tcPr>
            <w:tcW w:w="1942" w:type="dxa"/>
            <w:shd w:val="clear" w:color="auto" w:fill="auto"/>
            <w:vAlign w:val="center"/>
          </w:tcPr>
          <w:p w14:paraId="4C3CE050" w14:textId="77777777" w:rsidR="00EA37BF" w:rsidRPr="004C0798" w:rsidRDefault="00EA37BF" w:rsidP="00861438">
            <w:pPr>
              <w:spacing w:after="120" w:line="240" w:lineRule="auto"/>
              <w:jc w:val="center"/>
              <w:rPr>
                <w:rFonts w:asciiTheme="majorHAnsi" w:hAnsiTheme="majorHAnsi" w:cstheme="majorHAnsi"/>
                <w:i/>
                <w:color w:val="808080" w:themeColor="background1" w:themeShade="80"/>
                <w:sz w:val="20"/>
                <w:szCs w:val="20"/>
              </w:rPr>
            </w:pPr>
          </w:p>
        </w:tc>
      </w:tr>
      <w:tr w:rsidR="00EA37BF" w:rsidRPr="004C0798" w14:paraId="295EE90B" w14:textId="77777777" w:rsidTr="00861438">
        <w:trPr>
          <w:jc w:val="center"/>
        </w:trPr>
        <w:tc>
          <w:tcPr>
            <w:tcW w:w="1145" w:type="dxa"/>
            <w:vAlign w:val="center"/>
          </w:tcPr>
          <w:p w14:paraId="0F7B7539" w14:textId="77777777" w:rsidR="00EA37BF" w:rsidRPr="004C0798" w:rsidRDefault="00EA37BF" w:rsidP="00861438">
            <w:pPr>
              <w:spacing w:after="120" w:line="240" w:lineRule="auto"/>
              <w:jc w:val="center"/>
              <w:rPr>
                <w:rFonts w:asciiTheme="majorHAnsi" w:hAnsiTheme="majorHAnsi" w:cstheme="majorHAnsi"/>
                <w:b/>
                <w:i/>
                <w:color w:val="808080" w:themeColor="background1" w:themeShade="80"/>
                <w:sz w:val="20"/>
                <w:szCs w:val="20"/>
              </w:rPr>
            </w:pPr>
          </w:p>
        </w:tc>
        <w:tc>
          <w:tcPr>
            <w:tcW w:w="1243" w:type="dxa"/>
            <w:vAlign w:val="center"/>
          </w:tcPr>
          <w:p w14:paraId="0E4CCBB3" w14:textId="77777777" w:rsidR="00EA37BF" w:rsidRPr="004C0798" w:rsidRDefault="00EA37BF" w:rsidP="00861438">
            <w:pPr>
              <w:spacing w:after="120" w:line="240" w:lineRule="auto"/>
              <w:jc w:val="center"/>
              <w:rPr>
                <w:rFonts w:asciiTheme="majorHAnsi" w:hAnsiTheme="majorHAnsi" w:cstheme="majorHAnsi"/>
                <w:b/>
                <w:i/>
                <w:color w:val="808080" w:themeColor="background1" w:themeShade="80"/>
                <w:sz w:val="20"/>
                <w:szCs w:val="20"/>
              </w:rPr>
            </w:pPr>
          </w:p>
        </w:tc>
        <w:tc>
          <w:tcPr>
            <w:tcW w:w="1530" w:type="dxa"/>
            <w:vAlign w:val="center"/>
          </w:tcPr>
          <w:p w14:paraId="332F4A26" w14:textId="77777777" w:rsidR="00EA37BF" w:rsidRPr="004C0798" w:rsidRDefault="00EA37BF" w:rsidP="00861438">
            <w:pPr>
              <w:spacing w:after="120" w:line="240" w:lineRule="auto"/>
              <w:jc w:val="center"/>
              <w:rPr>
                <w:rFonts w:asciiTheme="majorHAnsi" w:hAnsiTheme="majorHAnsi" w:cstheme="majorHAnsi"/>
                <w:b/>
                <w:i/>
                <w:color w:val="808080" w:themeColor="background1" w:themeShade="80"/>
                <w:sz w:val="20"/>
                <w:szCs w:val="20"/>
              </w:rPr>
            </w:pPr>
          </w:p>
        </w:tc>
        <w:tc>
          <w:tcPr>
            <w:tcW w:w="904" w:type="dxa"/>
            <w:shd w:val="clear" w:color="auto" w:fill="auto"/>
            <w:vAlign w:val="center"/>
          </w:tcPr>
          <w:p w14:paraId="383C6F85" w14:textId="77777777" w:rsidR="00EA37BF" w:rsidRPr="004C0798" w:rsidRDefault="00EA37BF" w:rsidP="00861438">
            <w:pPr>
              <w:spacing w:after="120" w:line="240" w:lineRule="auto"/>
              <w:jc w:val="center"/>
              <w:rPr>
                <w:rFonts w:asciiTheme="majorHAnsi" w:hAnsiTheme="majorHAnsi" w:cstheme="majorHAnsi"/>
                <w:i/>
                <w:color w:val="808080" w:themeColor="background1" w:themeShade="80"/>
                <w:sz w:val="20"/>
                <w:szCs w:val="20"/>
              </w:rPr>
            </w:pPr>
          </w:p>
        </w:tc>
        <w:tc>
          <w:tcPr>
            <w:tcW w:w="1589" w:type="dxa"/>
            <w:vAlign w:val="center"/>
          </w:tcPr>
          <w:p w14:paraId="018F0162" w14:textId="77777777" w:rsidR="00EA37BF" w:rsidRPr="004C0798" w:rsidRDefault="00EA37BF" w:rsidP="00861438">
            <w:pPr>
              <w:spacing w:after="120" w:line="240" w:lineRule="auto"/>
              <w:jc w:val="center"/>
              <w:rPr>
                <w:rFonts w:asciiTheme="majorHAnsi" w:hAnsiTheme="majorHAnsi" w:cstheme="majorHAnsi"/>
                <w:i/>
                <w:color w:val="808080" w:themeColor="background1" w:themeShade="80"/>
                <w:sz w:val="20"/>
                <w:szCs w:val="20"/>
              </w:rPr>
            </w:pPr>
          </w:p>
        </w:tc>
        <w:tc>
          <w:tcPr>
            <w:tcW w:w="904" w:type="dxa"/>
            <w:shd w:val="clear" w:color="auto" w:fill="auto"/>
            <w:vAlign w:val="center"/>
          </w:tcPr>
          <w:p w14:paraId="6634CBB0" w14:textId="77777777" w:rsidR="00EA37BF" w:rsidRPr="004C0798" w:rsidRDefault="00EA37BF" w:rsidP="00861438">
            <w:pPr>
              <w:spacing w:after="120" w:line="240" w:lineRule="auto"/>
              <w:jc w:val="center"/>
              <w:rPr>
                <w:rFonts w:asciiTheme="majorHAnsi" w:hAnsiTheme="majorHAnsi" w:cstheme="majorHAnsi"/>
                <w:i/>
                <w:color w:val="808080" w:themeColor="background1" w:themeShade="80"/>
                <w:sz w:val="20"/>
                <w:szCs w:val="20"/>
              </w:rPr>
            </w:pPr>
          </w:p>
        </w:tc>
        <w:tc>
          <w:tcPr>
            <w:tcW w:w="1643" w:type="dxa"/>
            <w:vAlign w:val="center"/>
          </w:tcPr>
          <w:p w14:paraId="12771CE5" w14:textId="77777777" w:rsidR="00EA37BF" w:rsidRPr="004C0798" w:rsidRDefault="00EA37BF" w:rsidP="00861438">
            <w:pPr>
              <w:spacing w:after="120" w:line="240" w:lineRule="auto"/>
              <w:jc w:val="center"/>
              <w:rPr>
                <w:rFonts w:asciiTheme="majorHAnsi" w:hAnsiTheme="majorHAnsi" w:cstheme="majorHAnsi"/>
                <w:i/>
                <w:color w:val="808080" w:themeColor="background1" w:themeShade="80"/>
                <w:sz w:val="20"/>
                <w:szCs w:val="20"/>
              </w:rPr>
            </w:pPr>
          </w:p>
        </w:tc>
        <w:tc>
          <w:tcPr>
            <w:tcW w:w="1873" w:type="dxa"/>
            <w:shd w:val="clear" w:color="auto" w:fill="auto"/>
            <w:vAlign w:val="center"/>
          </w:tcPr>
          <w:p w14:paraId="7E9C4917" w14:textId="77777777" w:rsidR="00EA37BF" w:rsidRPr="004C0798" w:rsidRDefault="00EA37BF" w:rsidP="00861438">
            <w:pPr>
              <w:spacing w:after="120" w:line="240" w:lineRule="auto"/>
              <w:jc w:val="center"/>
              <w:rPr>
                <w:rFonts w:asciiTheme="majorHAnsi" w:hAnsiTheme="majorHAnsi" w:cstheme="majorHAnsi"/>
                <w:i/>
                <w:color w:val="808080" w:themeColor="background1" w:themeShade="80"/>
                <w:sz w:val="20"/>
                <w:szCs w:val="20"/>
              </w:rPr>
            </w:pPr>
          </w:p>
        </w:tc>
        <w:tc>
          <w:tcPr>
            <w:tcW w:w="1392" w:type="dxa"/>
            <w:vAlign w:val="center"/>
          </w:tcPr>
          <w:p w14:paraId="4CACF7A2" w14:textId="77777777" w:rsidR="00EA37BF" w:rsidRPr="004C0798" w:rsidRDefault="00EA37BF" w:rsidP="00861438">
            <w:pPr>
              <w:spacing w:after="120" w:line="240" w:lineRule="auto"/>
              <w:jc w:val="center"/>
              <w:rPr>
                <w:rFonts w:asciiTheme="majorHAnsi" w:hAnsiTheme="majorHAnsi" w:cstheme="majorHAnsi"/>
                <w:i/>
                <w:color w:val="808080" w:themeColor="background1" w:themeShade="80"/>
                <w:sz w:val="20"/>
                <w:szCs w:val="20"/>
              </w:rPr>
            </w:pPr>
          </w:p>
        </w:tc>
        <w:tc>
          <w:tcPr>
            <w:tcW w:w="1942" w:type="dxa"/>
            <w:shd w:val="clear" w:color="auto" w:fill="auto"/>
            <w:vAlign w:val="center"/>
          </w:tcPr>
          <w:p w14:paraId="22A4DA7E" w14:textId="77777777" w:rsidR="00EA37BF" w:rsidRPr="004C0798" w:rsidRDefault="00EA37BF" w:rsidP="00861438">
            <w:pPr>
              <w:spacing w:after="120" w:line="240" w:lineRule="auto"/>
              <w:jc w:val="center"/>
              <w:rPr>
                <w:rFonts w:asciiTheme="majorHAnsi" w:hAnsiTheme="majorHAnsi" w:cstheme="majorHAnsi"/>
                <w:i/>
                <w:color w:val="808080" w:themeColor="background1" w:themeShade="80"/>
                <w:sz w:val="20"/>
                <w:szCs w:val="20"/>
              </w:rPr>
            </w:pPr>
          </w:p>
        </w:tc>
      </w:tr>
    </w:tbl>
    <w:p w14:paraId="391F1999" w14:textId="77777777" w:rsidR="00EA37BF" w:rsidRPr="004C0798" w:rsidRDefault="00EA37BF" w:rsidP="00EA37BF">
      <w:pPr>
        <w:spacing w:after="120" w:line="240" w:lineRule="auto"/>
        <w:jc w:val="center"/>
        <w:rPr>
          <w:rFonts w:asciiTheme="majorHAnsi" w:hAnsiTheme="majorHAnsi" w:cstheme="majorHAnsi"/>
          <w:color w:val="808080" w:themeColor="background1" w:themeShade="80"/>
          <w:sz w:val="20"/>
          <w:szCs w:val="20"/>
        </w:rPr>
        <w:sectPr w:rsidR="00EA37BF" w:rsidRPr="004C0798" w:rsidSect="004C0798">
          <w:headerReference w:type="even" r:id="rId14"/>
          <w:headerReference w:type="default" r:id="rId15"/>
          <w:footerReference w:type="even" r:id="rId16"/>
          <w:footerReference w:type="default" r:id="rId17"/>
          <w:headerReference w:type="first" r:id="rId18"/>
          <w:footerReference w:type="first" r:id="rId19"/>
          <w:pgSz w:w="11906" w:h="16838" w:code="9"/>
          <w:pgMar w:top="567" w:right="1134" w:bottom="567" w:left="1134" w:header="567" w:footer="567" w:gutter="0"/>
          <w:cols w:space="708"/>
        </w:sectPr>
      </w:pPr>
    </w:p>
    <w:p w14:paraId="7925CACF" w14:textId="77777777" w:rsidR="00EA37BF" w:rsidRPr="004C0798" w:rsidRDefault="00EA37BF" w:rsidP="00EA37BF">
      <w:pPr>
        <w:spacing w:after="120" w:line="240" w:lineRule="auto"/>
        <w:rPr>
          <w:rFonts w:asciiTheme="majorHAnsi" w:hAnsiTheme="majorHAnsi" w:cstheme="majorHAnsi"/>
          <w:b/>
          <w:color w:val="808080" w:themeColor="background1" w:themeShade="80"/>
          <w:sz w:val="20"/>
          <w:szCs w:val="20"/>
          <w:u w:val="single"/>
        </w:rPr>
      </w:pPr>
      <w:r w:rsidRPr="004C0798">
        <w:rPr>
          <w:rFonts w:asciiTheme="majorHAnsi" w:hAnsiTheme="majorHAnsi" w:cstheme="majorHAnsi"/>
          <w:b/>
          <w:color w:val="808080" w:themeColor="background1" w:themeShade="80"/>
          <w:sz w:val="20"/>
          <w:szCs w:val="20"/>
          <w:u w:val="single"/>
        </w:rPr>
        <w:lastRenderedPageBreak/>
        <w:t xml:space="preserve">B. </w:t>
      </w:r>
      <w:proofErr w:type="spellStart"/>
      <w:r w:rsidRPr="004C0798">
        <w:rPr>
          <w:rFonts w:asciiTheme="majorHAnsi" w:hAnsiTheme="majorHAnsi" w:cstheme="majorHAnsi"/>
          <w:b/>
          <w:color w:val="808080" w:themeColor="background1" w:themeShade="80"/>
          <w:sz w:val="20"/>
          <w:szCs w:val="20"/>
          <w:u w:val="single"/>
        </w:rPr>
        <w:t>Details</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by</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type</w:t>
      </w:r>
      <w:proofErr w:type="spellEnd"/>
      <w:r w:rsidRPr="004C0798">
        <w:rPr>
          <w:rFonts w:asciiTheme="majorHAnsi" w:hAnsiTheme="majorHAnsi" w:cstheme="majorHAnsi"/>
          <w:b/>
          <w:color w:val="808080" w:themeColor="background1" w:themeShade="80"/>
          <w:sz w:val="20"/>
          <w:szCs w:val="20"/>
          <w:u w:val="single"/>
        </w:rPr>
        <w:t xml:space="preserve"> of </w:t>
      </w:r>
      <w:proofErr w:type="spellStart"/>
      <w:r w:rsidRPr="004C0798">
        <w:rPr>
          <w:rFonts w:asciiTheme="majorHAnsi" w:hAnsiTheme="majorHAnsi" w:cstheme="majorHAnsi"/>
          <w:b/>
          <w:color w:val="808080" w:themeColor="background1" w:themeShade="80"/>
          <w:sz w:val="20"/>
          <w:szCs w:val="20"/>
          <w:u w:val="single"/>
        </w:rPr>
        <w:t>operation</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to</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be</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completed</w:t>
      </w:r>
      <w:proofErr w:type="spellEnd"/>
      <w:r w:rsidRPr="004C0798">
        <w:rPr>
          <w:rFonts w:asciiTheme="majorHAnsi" w:hAnsiTheme="majorHAnsi" w:cstheme="majorHAnsi"/>
          <w:b/>
          <w:color w:val="808080" w:themeColor="background1" w:themeShade="80"/>
          <w:sz w:val="20"/>
          <w:szCs w:val="20"/>
          <w:u w:val="single"/>
        </w:rPr>
        <w:t xml:space="preserve"> for </w:t>
      </w:r>
      <w:proofErr w:type="spellStart"/>
      <w:r w:rsidRPr="004C0798">
        <w:rPr>
          <w:rFonts w:asciiTheme="majorHAnsi" w:hAnsiTheme="majorHAnsi" w:cstheme="majorHAnsi"/>
          <w:b/>
          <w:color w:val="808080" w:themeColor="background1" w:themeShade="80"/>
          <w:sz w:val="20"/>
          <w:szCs w:val="20"/>
          <w:u w:val="single"/>
        </w:rPr>
        <w:t>every</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type</w:t>
      </w:r>
      <w:proofErr w:type="spellEnd"/>
      <w:r w:rsidRPr="004C0798">
        <w:rPr>
          <w:rFonts w:asciiTheme="majorHAnsi" w:hAnsiTheme="majorHAnsi" w:cstheme="majorHAnsi"/>
          <w:b/>
          <w:color w:val="808080" w:themeColor="background1" w:themeShade="80"/>
          <w:sz w:val="20"/>
          <w:szCs w:val="20"/>
          <w:u w:val="single"/>
        </w:rPr>
        <w:t xml:space="preserve"> of </w:t>
      </w:r>
      <w:proofErr w:type="spellStart"/>
      <w:r w:rsidRPr="004C0798">
        <w:rPr>
          <w:rFonts w:asciiTheme="majorHAnsi" w:hAnsiTheme="majorHAnsi" w:cstheme="majorHAnsi"/>
          <w:b/>
          <w:color w:val="808080" w:themeColor="background1" w:themeShade="80"/>
          <w:sz w:val="20"/>
          <w:szCs w:val="20"/>
          <w:u w:val="single"/>
        </w:rPr>
        <w:t>operation</w:t>
      </w:r>
      <w:proofErr w:type="spellEnd"/>
      <w:r w:rsidRPr="004C0798">
        <w:rPr>
          <w:rFonts w:asciiTheme="majorHAnsi" w:hAnsiTheme="majorHAnsi" w:cstheme="majorHAnsi"/>
          <w:b/>
          <w:color w:val="808080" w:themeColor="background1" w:themeShade="80"/>
          <w:sz w:val="20"/>
          <w:szCs w:val="20"/>
          <w:u w:val="single"/>
        </w:rPr>
        <w:t>)</w:t>
      </w:r>
    </w:p>
    <w:p w14:paraId="39E26B4C" w14:textId="77777777" w:rsidR="00EA37BF" w:rsidRPr="004C0798" w:rsidRDefault="00EA37BF" w:rsidP="00EA37BF">
      <w:pPr>
        <w:spacing w:after="120" w:line="240" w:lineRule="auto"/>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Did</w:t>
      </w:r>
      <w:proofErr w:type="spellEnd"/>
      <w:r w:rsidRPr="004C0798">
        <w:rPr>
          <w:rFonts w:asciiTheme="majorHAnsi" w:hAnsiTheme="majorHAnsi" w:cstheme="majorHAnsi"/>
          <w:b/>
          <w:color w:val="808080" w:themeColor="background1" w:themeShade="80"/>
          <w:sz w:val="20"/>
          <w:szCs w:val="20"/>
        </w:rPr>
        <w:t xml:space="preserve"> the </w:t>
      </w:r>
      <w:proofErr w:type="spellStart"/>
      <w:r w:rsidRPr="004C0798">
        <w:rPr>
          <w:rFonts w:asciiTheme="majorHAnsi" w:hAnsiTheme="majorHAnsi" w:cstheme="majorHAnsi"/>
          <w:b/>
          <w:color w:val="808080" w:themeColor="background1" w:themeShade="80"/>
          <w:sz w:val="20"/>
          <w:szCs w:val="20"/>
        </w:rPr>
        <w:t>managing</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authority</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receive</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support</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from</w:t>
      </w:r>
      <w:proofErr w:type="spellEnd"/>
      <w:r w:rsidRPr="004C0798">
        <w:rPr>
          <w:rFonts w:asciiTheme="majorHAnsi" w:hAnsiTheme="majorHAnsi" w:cstheme="majorHAnsi"/>
          <w:b/>
          <w:color w:val="808080" w:themeColor="background1" w:themeShade="80"/>
          <w:sz w:val="20"/>
          <w:szCs w:val="20"/>
        </w:rPr>
        <w:t xml:space="preserve"> an </w:t>
      </w:r>
      <w:proofErr w:type="spellStart"/>
      <w:r w:rsidRPr="004C0798">
        <w:rPr>
          <w:rFonts w:asciiTheme="majorHAnsi" w:hAnsiTheme="majorHAnsi" w:cstheme="majorHAnsi"/>
          <w:b/>
          <w:color w:val="808080" w:themeColor="background1" w:themeShade="80"/>
          <w:sz w:val="20"/>
          <w:szCs w:val="20"/>
        </w:rPr>
        <w:t>external</w:t>
      </w:r>
      <w:proofErr w:type="spellEnd"/>
      <w:r w:rsidRPr="004C0798">
        <w:rPr>
          <w:rFonts w:asciiTheme="majorHAnsi" w:hAnsiTheme="majorHAnsi" w:cstheme="majorHAnsi"/>
          <w:b/>
          <w:color w:val="808080" w:themeColor="background1" w:themeShade="80"/>
          <w:sz w:val="20"/>
          <w:szCs w:val="20"/>
        </w:rPr>
        <w:t xml:space="preserve"> company </w:t>
      </w:r>
      <w:proofErr w:type="spellStart"/>
      <w:r w:rsidRPr="004C0798">
        <w:rPr>
          <w:rFonts w:asciiTheme="majorHAnsi" w:hAnsiTheme="majorHAnsi" w:cstheme="majorHAnsi"/>
          <w:b/>
          <w:color w:val="808080" w:themeColor="background1" w:themeShade="80"/>
          <w:sz w:val="20"/>
          <w:szCs w:val="20"/>
        </w:rPr>
        <w:t>to</w:t>
      </w:r>
      <w:proofErr w:type="spellEnd"/>
      <w:r w:rsidRPr="004C0798">
        <w:rPr>
          <w:rFonts w:asciiTheme="majorHAnsi" w:hAnsiTheme="majorHAnsi" w:cstheme="majorHAnsi"/>
          <w:b/>
          <w:color w:val="808080" w:themeColor="background1" w:themeShade="80"/>
          <w:sz w:val="20"/>
          <w:szCs w:val="20"/>
        </w:rPr>
        <w:t xml:space="preserve"> set out the </w:t>
      </w:r>
      <w:proofErr w:type="spellStart"/>
      <w:r w:rsidRPr="004C0798">
        <w:rPr>
          <w:rFonts w:asciiTheme="majorHAnsi" w:hAnsiTheme="majorHAnsi" w:cstheme="majorHAnsi"/>
          <w:b/>
          <w:color w:val="808080" w:themeColor="background1" w:themeShade="80"/>
          <w:sz w:val="20"/>
          <w:szCs w:val="20"/>
        </w:rPr>
        <w:t>simplified</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costs</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below</w:t>
      </w:r>
      <w:proofErr w:type="spellEnd"/>
      <w:r w:rsidRPr="004C0798">
        <w:rPr>
          <w:rFonts w:asciiTheme="majorHAnsi" w:hAnsiTheme="majorHAnsi" w:cstheme="majorHAnsi"/>
          <w:b/>
          <w:color w:val="808080" w:themeColor="background1" w:themeShade="80"/>
          <w:sz w:val="20"/>
          <w:szCs w:val="20"/>
        </w:rPr>
        <w:t xml:space="preserve">? </w:t>
      </w:r>
    </w:p>
    <w:p w14:paraId="3E3B2571" w14:textId="77777777" w:rsidR="00EA37BF" w:rsidRPr="004C0798" w:rsidRDefault="00EA37BF" w:rsidP="00EA37BF">
      <w:pPr>
        <w:spacing w:after="120" w:line="240" w:lineRule="auto"/>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If</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so</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please</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specify</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which</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external</w:t>
      </w:r>
      <w:proofErr w:type="spellEnd"/>
      <w:r w:rsidRPr="004C0798">
        <w:rPr>
          <w:rFonts w:asciiTheme="majorHAnsi" w:hAnsiTheme="majorHAnsi" w:cstheme="majorHAnsi"/>
          <w:b/>
          <w:color w:val="808080" w:themeColor="background1" w:themeShade="80"/>
          <w:sz w:val="20"/>
          <w:szCs w:val="20"/>
        </w:rPr>
        <w:t xml:space="preserve"> company: </w:t>
      </w:r>
      <w:r w:rsidRPr="004C0798">
        <w:rPr>
          <w:rFonts w:asciiTheme="majorHAnsi" w:hAnsiTheme="majorHAnsi" w:cstheme="majorHAnsi"/>
          <w:b/>
          <w:color w:val="808080" w:themeColor="background1" w:themeShade="80"/>
          <w:sz w:val="20"/>
          <w:szCs w:val="20"/>
        </w:rPr>
        <w:tab/>
        <w:t xml:space="preserve">Yes/No – </w:t>
      </w:r>
      <w:proofErr w:type="spellStart"/>
      <w:r w:rsidRPr="004C0798">
        <w:rPr>
          <w:rFonts w:asciiTheme="majorHAnsi" w:hAnsiTheme="majorHAnsi" w:cstheme="majorHAnsi"/>
          <w:b/>
          <w:color w:val="808080" w:themeColor="background1" w:themeShade="80"/>
          <w:sz w:val="20"/>
          <w:szCs w:val="20"/>
        </w:rPr>
        <w:t>Name</w:t>
      </w:r>
      <w:proofErr w:type="spellEnd"/>
      <w:r w:rsidRPr="004C0798">
        <w:rPr>
          <w:rFonts w:asciiTheme="majorHAnsi" w:hAnsiTheme="majorHAnsi" w:cstheme="majorHAnsi"/>
          <w:b/>
          <w:color w:val="808080" w:themeColor="background1" w:themeShade="80"/>
          <w:sz w:val="20"/>
          <w:szCs w:val="20"/>
        </w:rPr>
        <w:t xml:space="preserve"> of </w:t>
      </w:r>
      <w:proofErr w:type="spellStart"/>
      <w:r w:rsidRPr="004C0798">
        <w:rPr>
          <w:rFonts w:asciiTheme="majorHAnsi" w:hAnsiTheme="majorHAnsi" w:cstheme="majorHAnsi"/>
          <w:b/>
          <w:color w:val="808080" w:themeColor="background1" w:themeShade="80"/>
          <w:sz w:val="20"/>
          <w:szCs w:val="20"/>
        </w:rPr>
        <w:t>external</w:t>
      </w:r>
      <w:proofErr w:type="spellEnd"/>
      <w:r w:rsidRPr="004C0798">
        <w:rPr>
          <w:rFonts w:asciiTheme="majorHAnsi" w:hAnsiTheme="majorHAnsi" w:cstheme="majorHAnsi"/>
          <w:b/>
          <w:color w:val="808080" w:themeColor="background1" w:themeShade="80"/>
          <w:sz w:val="20"/>
          <w:szCs w:val="20"/>
        </w:rPr>
        <w:t xml:space="preserve"> company</w:t>
      </w:r>
    </w:p>
    <w:p w14:paraId="7E1829ED" w14:textId="77777777" w:rsidR="00EA37BF" w:rsidRPr="004C0798" w:rsidRDefault="00EA37BF" w:rsidP="00EA37BF">
      <w:pPr>
        <w:spacing w:after="120" w:line="240" w:lineRule="auto"/>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Types</w:t>
      </w:r>
      <w:proofErr w:type="spellEnd"/>
      <w:r w:rsidRPr="004C0798">
        <w:rPr>
          <w:rFonts w:asciiTheme="majorHAnsi" w:hAnsiTheme="majorHAnsi" w:cstheme="majorHAnsi"/>
          <w:color w:val="808080" w:themeColor="background1" w:themeShade="80"/>
          <w:sz w:val="20"/>
          <w:szCs w:val="20"/>
        </w:rPr>
        <w:t xml:space="preserve"> of </w:t>
      </w:r>
      <w:proofErr w:type="spellStart"/>
      <w:r w:rsidRPr="004C0798">
        <w:rPr>
          <w:rFonts w:asciiTheme="majorHAnsi" w:hAnsiTheme="majorHAnsi" w:cstheme="majorHAnsi"/>
          <w:color w:val="808080" w:themeColor="background1" w:themeShade="80"/>
          <w:sz w:val="20"/>
          <w:szCs w:val="20"/>
        </w:rPr>
        <w:t>operation</w:t>
      </w:r>
      <w:proofErr w:type="spellEnd"/>
      <w:r w:rsidRPr="004C0798">
        <w:rPr>
          <w:rFonts w:asciiTheme="majorHAnsi" w:hAnsiTheme="majorHAnsi" w:cstheme="majorHAnsi"/>
          <w:color w:val="808080" w:themeColor="background1" w:themeShade="80"/>
          <w:sz w:val="20"/>
          <w:szCs w:val="20"/>
        </w:rPr>
        <w:t>:</w:t>
      </w:r>
    </w:p>
    <w:tbl>
      <w:tblPr>
        <w:tblW w:w="9087"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5"/>
        <w:gridCol w:w="4992"/>
      </w:tblGrid>
      <w:tr w:rsidR="00EA37BF" w:rsidRPr="004C0798" w14:paraId="6250A1BC" w14:textId="77777777" w:rsidTr="00861438">
        <w:trPr>
          <w:trHeight w:val="300"/>
        </w:trPr>
        <w:tc>
          <w:tcPr>
            <w:tcW w:w="4095" w:type="dxa"/>
            <w:shd w:val="clear" w:color="auto" w:fill="auto"/>
            <w:vAlign w:val="center"/>
          </w:tcPr>
          <w:p w14:paraId="000D6D0D"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1.1. </w:t>
            </w:r>
            <w:proofErr w:type="spellStart"/>
            <w:r w:rsidRPr="004C0798">
              <w:rPr>
                <w:rFonts w:asciiTheme="majorHAnsi" w:hAnsiTheme="majorHAnsi" w:cstheme="majorHAnsi"/>
                <w:color w:val="808080" w:themeColor="background1" w:themeShade="80"/>
                <w:sz w:val="20"/>
                <w:szCs w:val="20"/>
              </w:rPr>
              <w:t>Description</w:t>
            </w:r>
            <w:proofErr w:type="spellEnd"/>
            <w:r w:rsidRPr="004C0798">
              <w:rPr>
                <w:rFonts w:asciiTheme="majorHAnsi" w:hAnsiTheme="majorHAnsi" w:cstheme="majorHAnsi"/>
                <w:color w:val="808080" w:themeColor="background1" w:themeShade="80"/>
                <w:sz w:val="20"/>
                <w:szCs w:val="20"/>
              </w:rPr>
              <w:t xml:space="preserve"> of the </w:t>
            </w:r>
            <w:proofErr w:type="spellStart"/>
            <w:r w:rsidRPr="004C0798">
              <w:rPr>
                <w:rFonts w:asciiTheme="majorHAnsi" w:hAnsiTheme="majorHAnsi" w:cstheme="majorHAnsi"/>
                <w:color w:val="808080" w:themeColor="background1" w:themeShade="80"/>
                <w:sz w:val="20"/>
                <w:szCs w:val="20"/>
              </w:rPr>
              <w:t>operation</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type</w:t>
            </w:r>
            <w:proofErr w:type="spellEnd"/>
            <w:r w:rsidRPr="004C0798">
              <w:rPr>
                <w:rFonts w:asciiTheme="majorHAnsi" w:hAnsiTheme="majorHAnsi" w:cstheme="majorHAnsi"/>
                <w:color w:val="808080" w:themeColor="background1" w:themeShade="80"/>
                <w:sz w:val="20"/>
                <w:szCs w:val="20"/>
              </w:rPr>
              <w:t xml:space="preserve"> </w:t>
            </w:r>
          </w:p>
        </w:tc>
        <w:tc>
          <w:tcPr>
            <w:tcW w:w="4992" w:type="dxa"/>
            <w:vAlign w:val="center"/>
          </w:tcPr>
          <w:p w14:paraId="1E1D3A41"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r>
      <w:tr w:rsidR="00EA37BF" w:rsidRPr="004C0798" w14:paraId="54863757" w14:textId="77777777" w:rsidTr="00861438">
        <w:trPr>
          <w:trHeight w:val="300"/>
        </w:trPr>
        <w:tc>
          <w:tcPr>
            <w:tcW w:w="4095" w:type="dxa"/>
            <w:shd w:val="clear" w:color="auto" w:fill="auto"/>
            <w:vAlign w:val="center"/>
          </w:tcPr>
          <w:p w14:paraId="4A5993C5"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1.2 </w:t>
            </w:r>
            <w:r w:rsidRPr="004C0798">
              <w:rPr>
                <w:rFonts w:asciiTheme="majorHAnsi" w:hAnsiTheme="majorHAnsi" w:cstheme="majorHAnsi"/>
                <w:i/>
                <w:color w:val="808080" w:themeColor="background1" w:themeShade="80"/>
                <w:sz w:val="20"/>
                <w:szCs w:val="20"/>
              </w:rPr>
              <w:t>]</w:t>
            </w:r>
            <w:r w:rsidRPr="004C0798">
              <w:rPr>
                <w:rFonts w:asciiTheme="majorHAnsi" w:hAnsiTheme="majorHAnsi" w:cstheme="majorHAnsi"/>
                <w:color w:val="808080" w:themeColor="background1" w:themeShade="80"/>
                <w:sz w:val="20"/>
                <w:szCs w:val="20"/>
              </w:rPr>
              <w:t xml:space="preserve">specific </w:t>
            </w:r>
            <w:proofErr w:type="spellStart"/>
            <w:r w:rsidRPr="004C0798">
              <w:rPr>
                <w:rFonts w:asciiTheme="majorHAnsi" w:hAnsiTheme="majorHAnsi" w:cstheme="majorHAnsi"/>
                <w:color w:val="808080" w:themeColor="background1" w:themeShade="80"/>
                <w:sz w:val="20"/>
                <w:szCs w:val="20"/>
              </w:rPr>
              <w:t>objective</w:t>
            </w:r>
            <w:proofErr w:type="spellEnd"/>
            <w:r w:rsidRPr="004C0798">
              <w:rPr>
                <w:rFonts w:asciiTheme="majorHAnsi" w:hAnsiTheme="majorHAnsi" w:cstheme="majorHAnsi"/>
                <w:i/>
                <w:strike/>
                <w:color w:val="808080" w:themeColor="background1" w:themeShade="80"/>
                <w:sz w:val="20"/>
                <w:szCs w:val="20"/>
              </w:rPr>
              <w:t>)</w:t>
            </w:r>
            <w:r w:rsidRPr="004C0798">
              <w:rPr>
                <w:rFonts w:asciiTheme="majorHAnsi" w:hAnsiTheme="majorHAnsi" w:cstheme="majorHAnsi"/>
                <w:i/>
                <w:color w:val="808080" w:themeColor="background1" w:themeShade="80"/>
                <w:sz w:val="20"/>
                <w:szCs w:val="20"/>
                <w:vertAlign w:val="superscript"/>
              </w:rPr>
              <w:footnoteReference w:id="10"/>
            </w:r>
          </w:p>
        </w:tc>
        <w:tc>
          <w:tcPr>
            <w:tcW w:w="4992" w:type="dxa"/>
            <w:vAlign w:val="center"/>
          </w:tcPr>
          <w:p w14:paraId="6986CAAD"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p w14:paraId="731A2E14"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p w14:paraId="4E66B04C"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r>
      <w:tr w:rsidR="00EA37BF" w:rsidRPr="004C0798" w14:paraId="5D70519C" w14:textId="77777777" w:rsidTr="00861438">
        <w:trPr>
          <w:trHeight w:val="300"/>
        </w:trPr>
        <w:tc>
          <w:tcPr>
            <w:tcW w:w="4095" w:type="dxa"/>
            <w:shd w:val="clear" w:color="auto" w:fill="auto"/>
            <w:vAlign w:val="center"/>
          </w:tcPr>
          <w:p w14:paraId="3C05D561"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1.3 Indicator </w:t>
            </w:r>
            <w:proofErr w:type="spellStart"/>
            <w:r w:rsidRPr="004C0798">
              <w:rPr>
                <w:rFonts w:asciiTheme="majorHAnsi" w:hAnsiTheme="majorHAnsi" w:cstheme="majorHAnsi"/>
                <w:color w:val="808080" w:themeColor="background1" w:themeShade="80"/>
                <w:sz w:val="20"/>
                <w:szCs w:val="20"/>
              </w:rPr>
              <w:t>name</w:t>
            </w:r>
            <w:proofErr w:type="spellEnd"/>
            <w:r w:rsidRPr="004C0798">
              <w:rPr>
                <w:rFonts w:asciiTheme="majorHAnsi" w:hAnsiTheme="majorHAnsi" w:cstheme="majorHAnsi"/>
                <w:color w:val="808080" w:themeColor="background1" w:themeShade="80"/>
                <w:sz w:val="20"/>
                <w:szCs w:val="20"/>
                <w:vertAlign w:val="superscript"/>
              </w:rPr>
              <w:footnoteReference w:id="11"/>
            </w:r>
          </w:p>
        </w:tc>
        <w:tc>
          <w:tcPr>
            <w:tcW w:w="4992" w:type="dxa"/>
            <w:vAlign w:val="center"/>
          </w:tcPr>
          <w:p w14:paraId="46D7BCBC"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r>
      <w:tr w:rsidR="00EA37BF" w:rsidRPr="004C0798" w14:paraId="294CFCDE" w14:textId="77777777" w:rsidTr="00861438">
        <w:trPr>
          <w:trHeight w:val="300"/>
        </w:trPr>
        <w:tc>
          <w:tcPr>
            <w:tcW w:w="4095" w:type="dxa"/>
            <w:shd w:val="clear" w:color="auto" w:fill="auto"/>
            <w:vAlign w:val="center"/>
          </w:tcPr>
          <w:p w14:paraId="38F7BB4B"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1.4 Unit of </w:t>
            </w:r>
            <w:proofErr w:type="spellStart"/>
            <w:r w:rsidRPr="004C0798">
              <w:rPr>
                <w:rFonts w:asciiTheme="majorHAnsi" w:hAnsiTheme="majorHAnsi" w:cstheme="majorHAnsi"/>
                <w:color w:val="808080" w:themeColor="background1" w:themeShade="80"/>
                <w:sz w:val="20"/>
                <w:szCs w:val="20"/>
              </w:rPr>
              <w:t>measurement</w:t>
            </w:r>
            <w:proofErr w:type="spellEnd"/>
            <w:r w:rsidRPr="004C0798">
              <w:rPr>
                <w:rFonts w:asciiTheme="majorHAnsi" w:hAnsiTheme="majorHAnsi" w:cstheme="majorHAnsi"/>
                <w:color w:val="808080" w:themeColor="background1" w:themeShade="80"/>
                <w:sz w:val="20"/>
                <w:szCs w:val="20"/>
              </w:rPr>
              <w:t xml:space="preserve"> for indicator</w:t>
            </w:r>
          </w:p>
        </w:tc>
        <w:tc>
          <w:tcPr>
            <w:tcW w:w="4992" w:type="dxa"/>
            <w:vAlign w:val="center"/>
          </w:tcPr>
          <w:p w14:paraId="12D8FC1F"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r>
      <w:tr w:rsidR="00EA37BF" w:rsidRPr="004C0798" w14:paraId="41253C95" w14:textId="77777777" w:rsidTr="00861438">
        <w:trPr>
          <w:trHeight w:val="300"/>
        </w:trPr>
        <w:tc>
          <w:tcPr>
            <w:tcW w:w="4095" w:type="dxa"/>
            <w:shd w:val="clear" w:color="auto" w:fill="auto"/>
            <w:vAlign w:val="center"/>
          </w:tcPr>
          <w:p w14:paraId="098D8EB1"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1.5 Standard scale of unit cost, </w:t>
            </w:r>
            <w:proofErr w:type="spellStart"/>
            <w:r w:rsidRPr="004C0798">
              <w:rPr>
                <w:rFonts w:asciiTheme="majorHAnsi" w:hAnsiTheme="majorHAnsi" w:cstheme="majorHAnsi"/>
                <w:color w:val="808080" w:themeColor="background1" w:themeShade="80"/>
                <w:sz w:val="20"/>
                <w:szCs w:val="20"/>
              </w:rPr>
              <w:t>lump</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sum</w:t>
            </w:r>
            <w:proofErr w:type="spellEnd"/>
            <w:r w:rsidRPr="004C0798">
              <w:rPr>
                <w:rFonts w:asciiTheme="majorHAnsi" w:hAnsiTheme="majorHAnsi" w:cstheme="majorHAnsi"/>
                <w:color w:val="808080" w:themeColor="background1" w:themeShade="80"/>
                <w:sz w:val="20"/>
                <w:szCs w:val="20"/>
              </w:rPr>
              <w:t xml:space="preserve"> or </w:t>
            </w:r>
            <w:proofErr w:type="spellStart"/>
            <w:r w:rsidRPr="004C0798">
              <w:rPr>
                <w:rFonts w:asciiTheme="majorHAnsi" w:hAnsiTheme="majorHAnsi" w:cstheme="majorHAnsi"/>
                <w:color w:val="808080" w:themeColor="background1" w:themeShade="80"/>
                <w:sz w:val="20"/>
                <w:szCs w:val="20"/>
              </w:rPr>
              <w:t>flat</w:t>
            </w:r>
            <w:proofErr w:type="spellEnd"/>
            <w:r w:rsidRPr="004C0798">
              <w:rPr>
                <w:rFonts w:asciiTheme="majorHAnsi" w:hAnsiTheme="majorHAnsi" w:cstheme="majorHAnsi"/>
                <w:color w:val="808080" w:themeColor="background1" w:themeShade="80"/>
                <w:sz w:val="20"/>
                <w:szCs w:val="20"/>
              </w:rPr>
              <w:t xml:space="preserve"> rate</w:t>
            </w:r>
          </w:p>
        </w:tc>
        <w:tc>
          <w:tcPr>
            <w:tcW w:w="4992" w:type="dxa"/>
            <w:vAlign w:val="center"/>
          </w:tcPr>
          <w:p w14:paraId="16A7DF11"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r w:rsidR="00EA37BF" w:rsidRPr="004C0798" w14:paraId="7079A06F" w14:textId="77777777" w:rsidTr="00861438">
        <w:trPr>
          <w:trHeight w:val="300"/>
        </w:trPr>
        <w:tc>
          <w:tcPr>
            <w:tcW w:w="4095" w:type="dxa"/>
            <w:shd w:val="clear" w:color="auto" w:fill="auto"/>
            <w:vAlign w:val="center"/>
          </w:tcPr>
          <w:p w14:paraId="4C91FCD1"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1.6 </w:t>
            </w:r>
            <w:proofErr w:type="spellStart"/>
            <w:r w:rsidRPr="004C0798">
              <w:rPr>
                <w:rFonts w:asciiTheme="majorHAnsi" w:hAnsiTheme="majorHAnsi" w:cstheme="majorHAnsi"/>
                <w:color w:val="808080" w:themeColor="background1" w:themeShade="80"/>
                <w:sz w:val="20"/>
                <w:szCs w:val="20"/>
              </w:rPr>
              <w:t>Amount</w:t>
            </w:r>
            <w:proofErr w:type="spellEnd"/>
          </w:p>
        </w:tc>
        <w:tc>
          <w:tcPr>
            <w:tcW w:w="4992" w:type="dxa"/>
            <w:vAlign w:val="center"/>
          </w:tcPr>
          <w:p w14:paraId="179CABDB"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r>
      <w:tr w:rsidR="00EA37BF" w:rsidRPr="004C0798" w14:paraId="11D62DCA" w14:textId="77777777" w:rsidTr="00861438">
        <w:trPr>
          <w:trHeight w:val="300"/>
        </w:trPr>
        <w:tc>
          <w:tcPr>
            <w:tcW w:w="4095" w:type="dxa"/>
            <w:shd w:val="clear" w:color="auto" w:fill="auto"/>
            <w:vAlign w:val="center"/>
          </w:tcPr>
          <w:p w14:paraId="050CC527"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1.7 </w:t>
            </w:r>
            <w:proofErr w:type="spellStart"/>
            <w:r w:rsidRPr="004C0798">
              <w:rPr>
                <w:rFonts w:asciiTheme="majorHAnsi" w:hAnsiTheme="majorHAnsi" w:cstheme="majorHAnsi"/>
                <w:color w:val="808080" w:themeColor="background1" w:themeShade="80"/>
                <w:sz w:val="20"/>
                <w:szCs w:val="20"/>
              </w:rPr>
              <w:t>Categories</w:t>
            </w:r>
            <w:proofErr w:type="spellEnd"/>
            <w:r w:rsidRPr="004C0798">
              <w:rPr>
                <w:rFonts w:asciiTheme="majorHAnsi" w:hAnsiTheme="majorHAnsi" w:cstheme="majorHAnsi"/>
                <w:color w:val="808080" w:themeColor="background1" w:themeShade="80"/>
                <w:sz w:val="20"/>
                <w:szCs w:val="20"/>
              </w:rPr>
              <w:t xml:space="preserve"> of </w:t>
            </w:r>
            <w:proofErr w:type="spellStart"/>
            <w:r w:rsidRPr="004C0798">
              <w:rPr>
                <w:rFonts w:asciiTheme="majorHAnsi" w:hAnsiTheme="majorHAnsi" w:cstheme="majorHAnsi"/>
                <w:color w:val="808080" w:themeColor="background1" w:themeShade="80"/>
                <w:sz w:val="20"/>
                <w:szCs w:val="20"/>
              </w:rPr>
              <w:t>costs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covered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by</w:t>
            </w:r>
            <w:proofErr w:type="spellEnd"/>
            <w:r w:rsidRPr="004C0798">
              <w:rPr>
                <w:rFonts w:asciiTheme="majorHAnsi" w:hAnsiTheme="majorHAnsi" w:cstheme="majorHAnsi"/>
                <w:color w:val="808080" w:themeColor="background1" w:themeShade="80"/>
                <w:sz w:val="20"/>
                <w:szCs w:val="20"/>
              </w:rPr>
              <w:t xml:space="preserve"> unit cost, </w:t>
            </w:r>
            <w:proofErr w:type="spellStart"/>
            <w:r w:rsidRPr="004C0798">
              <w:rPr>
                <w:rFonts w:asciiTheme="majorHAnsi" w:hAnsiTheme="majorHAnsi" w:cstheme="majorHAnsi"/>
                <w:color w:val="808080" w:themeColor="background1" w:themeShade="80"/>
                <w:sz w:val="20"/>
                <w:szCs w:val="20"/>
              </w:rPr>
              <w:t>lump</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sum</w:t>
            </w:r>
            <w:proofErr w:type="spellEnd"/>
            <w:r w:rsidRPr="004C0798">
              <w:rPr>
                <w:rFonts w:asciiTheme="majorHAnsi" w:hAnsiTheme="majorHAnsi" w:cstheme="majorHAnsi"/>
                <w:color w:val="808080" w:themeColor="background1" w:themeShade="80"/>
                <w:sz w:val="20"/>
                <w:szCs w:val="20"/>
              </w:rPr>
              <w:t xml:space="preserve"> or </w:t>
            </w:r>
            <w:proofErr w:type="spellStart"/>
            <w:r w:rsidRPr="004C0798">
              <w:rPr>
                <w:rFonts w:asciiTheme="majorHAnsi" w:hAnsiTheme="majorHAnsi" w:cstheme="majorHAnsi"/>
                <w:color w:val="808080" w:themeColor="background1" w:themeShade="80"/>
                <w:sz w:val="20"/>
                <w:szCs w:val="20"/>
              </w:rPr>
              <w:t>flat</w:t>
            </w:r>
            <w:proofErr w:type="spellEnd"/>
            <w:r w:rsidRPr="004C0798">
              <w:rPr>
                <w:rFonts w:asciiTheme="majorHAnsi" w:hAnsiTheme="majorHAnsi" w:cstheme="majorHAnsi"/>
                <w:color w:val="808080" w:themeColor="background1" w:themeShade="80"/>
                <w:sz w:val="20"/>
                <w:szCs w:val="20"/>
              </w:rPr>
              <w:t xml:space="preserve"> rate</w:t>
            </w:r>
          </w:p>
        </w:tc>
        <w:tc>
          <w:tcPr>
            <w:tcW w:w="4992" w:type="dxa"/>
            <w:vAlign w:val="center"/>
          </w:tcPr>
          <w:p w14:paraId="55F42256"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r>
      <w:tr w:rsidR="00EA37BF" w:rsidRPr="004C0798" w14:paraId="5B060472" w14:textId="77777777" w:rsidTr="00861438">
        <w:trPr>
          <w:trHeight w:val="300"/>
        </w:trPr>
        <w:tc>
          <w:tcPr>
            <w:tcW w:w="4095" w:type="dxa"/>
            <w:shd w:val="clear" w:color="auto" w:fill="auto"/>
            <w:vAlign w:val="center"/>
          </w:tcPr>
          <w:p w14:paraId="60A74B1D"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1.8 Do </w:t>
            </w:r>
            <w:proofErr w:type="spellStart"/>
            <w:r w:rsidRPr="004C0798">
              <w:rPr>
                <w:rFonts w:asciiTheme="majorHAnsi" w:hAnsiTheme="majorHAnsi" w:cstheme="majorHAnsi"/>
                <w:color w:val="808080" w:themeColor="background1" w:themeShade="80"/>
                <w:sz w:val="20"/>
                <w:szCs w:val="20"/>
              </w:rPr>
              <w:t>these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categories</w:t>
            </w:r>
            <w:proofErr w:type="spellEnd"/>
            <w:r w:rsidRPr="004C0798">
              <w:rPr>
                <w:rFonts w:asciiTheme="majorHAnsi" w:hAnsiTheme="majorHAnsi" w:cstheme="majorHAnsi"/>
                <w:color w:val="808080" w:themeColor="background1" w:themeShade="80"/>
                <w:sz w:val="20"/>
                <w:szCs w:val="20"/>
              </w:rPr>
              <w:t xml:space="preserve"> of </w:t>
            </w:r>
            <w:proofErr w:type="spellStart"/>
            <w:r w:rsidRPr="004C0798">
              <w:rPr>
                <w:rFonts w:asciiTheme="majorHAnsi" w:hAnsiTheme="majorHAnsi" w:cstheme="majorHAnsi"/>
                <w:color w:val="808080" w:themeColor="background1" w:themeShade="80"/>
                <w:sz w:val="20"/>
                <w:szCs w:val="20"/>
              </w:rPr>
              <w:t>costs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cover</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all</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eligible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expenditure</w:t>
            </w:r>
            <w:proofErr w:type="spellEnd"/>
            <w:r w:rsidRPr="004C0798">
              <w:rPr>
                <w:rFonts w:asciiTheme="majorHAnsi" w:hAnsiTheme="majorHAnsi" w:cstheme="majorHAnsi"/>
                <w:color w:val="808080" w:themeColor="background1" w:themeShade="80"/>
                <w:sz w:val="20"/>
                <w:szCs w:val="20"/>
              </w:rPr>
              <w:t xml:space="preserve"> for the </w:t>
            </w:r>
            <w:proofErr w:type="spellStart"/>
            <w:r w:rsidRPr="004C0798">
              <w:rPr>
                <w:rFonts w:asciiTheme="majorHAnsi" w:hAnsiTheme="majorHAnsi" w:cstheme="majorHAnsi"/>
                <w:color w:val="808080" w:themeColor="background1" w:themeShade="80"/>
                <w:sz w:val="20"/>
                <w:szCs w:val="20"/>
              </w:rPr>
              <w:t>operation</w:t>
            </w:r>
            <w:proofErr w:type="spellEnd"/>
            <w:r w:rsidRPr="004C0798">
              <w:rPr>
                <w:rFonts w:asciiTheme="majorHAnsi" w:hAnsiTheme="majorHAnsi" w:cstheme="majorHAnsi"/>
                <w:color w:val="808080" w:themeColor="background1" w:themeShade="80"/>
                <w:sz w:val="20"/>
                <w:szCs w:val="20"/>
              </w:rPr>
              <w:t>? (Y/N)</w:t>
            </w:r>
          </w:p>
        </w:tc>
        <w:tc>
          <w:tcPr>
            <w:tcW w:w="4992" w:type="dxa"/>
            <w:vAlign w:val="center"/>
          </w:tcPr>
          <w:p w14:paraId="0CF9823D" w14:textId="77777777" w:rsidR="00EA37BF" w:rsidRPr="004C0798" w:rsidRDefault="00EA37BF" w:rsidP="00861438">
            <w:pPr>
              <w:spacing w:after="120" w:line="240" w:lineRule="auto"/>
              <w:jc w:val="center"/>
              <w:rPr>
                <w:rFonts w:asciiTheme="majorHAnsi" w:hAnsiTheme="majorHAnsi" w:cstheme="majorHAnsi"/>
                <w:i/>
                <w:color w:val="808080" w:themeColor="background1" w:themeShade="80"/>
                <w:sz w:val="20"/>
                <w:szCs w:val="20"/>
              </w:rPr>
            </w:pPr>
          </w:p>
        </w:tc>
      </w:tr>
      <w:tr w:rsidR="00EA37BF" w:rsidRPr="004C0798" w14:paraId="43F4C819" w14:textId="77777777" w:rsidTr="00861438">
        <w:trPr>
          <w:trHeight w:val="300"/>
        </w:trPr>
        <w:tc>
          <w:tcPr>
            <w:tcW w:w="4095" w:type="dxa"/>
            <w:shd w:val="clear" w:color="auto" w:fill="auto"/>
            <w:vAlign w:val="center"/>
          </w:tcPr>
          <w:p w14:paraId="10E582A7"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1.9 </w:t>
            </w:r>
            <w:proofErr w:type="spellStart"/>
            <w:r w:rsidRPr="004C0798">
              <w:rPr>
                <w:rFonts w:asciiTheme="majorHAnsi" w:hAnsiTheme="majorHAnsi" w:cstheme="majorHAnsi"/>
                <w:color w:val="808080" w:themeColor="background1" w:themeShade="80"/>
                <w:sz w:val="20"/>
                <w:szCs w:val="20"/>
              </w:rPr>
              <w:t>Adjustment</w:t>
            </w:r>
            <w:proofErr w:type="spellEnd"/>
            <w:r w:rsidRPr="004C0798">
              <w:rPr>
                <w:rFonts w:asciiTheme="majorHAnsi" w:hAnsiTheme="majorHAnsi" w:cstheme="majorHAnsi"/>
                <w:color w:val="808080" w:themeColor="background1" w:themeShade="80"/>
                <w:sz w:val="20"/>
                <w:szCs w:val="20"/>
              </w:rPr>
              <w:t xml:space="preserve">(s) </w:t>
            </w:r>
            <w:proofErr w:type="spellStart"/>
            <w:r w:rsidRPr="004C0798">
              <w:rPr>
                <w:rFonts w:asciiTheme="majorHAnsi" w:hAnsiTheme="majorHAnsi" w:cstheme="majorHAnsi"/>
                <w:color w:val="808080" w:themeColor="background1" w:themeShade="80"/>
                <w:sz w:val="20"/>
                <w:szCs w:val="20"/>
              </w:rPr>
              <w:t>method</w:t>
            </w:r>
            <w:proofErr w:type="spellEnd"/>
            <w:r w:rsidRPr="004C0798">
              <w:rPr>
                <w:rFonts w:asciiTheme="majorHAnsi" w:hAnsiTheme="majorHAnsi" w:cstheme="majorHAnsi"/>
                <w:color w:val="808080" w:themeColor="background1" w:themeShade="80"/>
                <w:sz w:val="20"/>
                <w:szCs w:val="20"/>
              </w:rPr>
              <w:t xml:space="preserve"> </w:t>
            </w:r>
          </w:p>
        </w:tc>
        <w:tc>
          <w:tcPr>
            <w:tcW w:w="4992" w:type="dxa"/>
            <w:vAlign w:val="center"/>
          </w:tcPr>
          <w:p w14:paraId="4FD1F019"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r>
      <w:tr w:rsidR="00EA37BF" w:rsidRPr="004C0798" w14:paraId="5AB22598" w14:textId="77777777" w:rsidTr="00861438">
        <w:trPr>
          <w:trHeight w:val="300"/>
        </w:trPr>
        <w:tc>
          <w:tcPr>
            <w:tcW w:w="4095" w:type="dxa"/>
            <w:shd w:val="clear" w:color="auto" w:fill="auto"/>
            <w:vAlign w:val="center"/>
          </w:tcPr>
          <w:p w14:paraId="20AD38D5"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11.10 </w:t>
            </w:r>
            <w:proofErr w:type="spellStart"/>
            <w:r w:rsidRPr="004C0798">
              <w:rPr>
                <w:rFonts w:asciiTheme="majorHAnsi" w:hAnsiTheme="majorHAnsi" w:cstheme="majorHAnsi"/>
                <w:color w:val="808080" w:themeColor="background1" w:themeShade="80"/>
                <w:sz w:val="20"/>
                <w:szCs w:val="20"/>
              </w:rPr>
              <w:t>Verification</w:t>
            </w:r>
            <w:proofErr w:type="spellEnd"/>
            <w:r w:rsidRPr="004C0798">
              <w:rPr>
                <w:rFonts w:asciiTheme="majorHAnsi" w:hAnsiTheme="majorHAnsi" w:cstheme="majorHAnsi"/>
                <w:color w:val="808080" w:themeColor="background1" w:themeShade="80"/>
                <w:sz w:val="20"/>
                <w:szCs w:val="20"/>
              </w:rPr>
              <w:t xml:space="preserve"> of the </w:t>
            </w:r>
            <w:proofErr w:type="spellStart"/>
            <w:r w:rsidRPr="004C0798">
              <w:rPr>
                <w:rFonts w:asciiTheme="majorHAnsi" w:hAnsiTheme="majorHAnsi" w:cstheme="majorHAnsi"/>
                <w:color w:val="808080" w:themeColor="background1" w:themeShade="80"/>
                <w:sz w:val="20"/>
                <w:szCs w:val="20"/>
              </w:rPr>
              <w:t>achievement</w:t>
            </w:r>
            <w:proofErr w:type="spellEnd"/>
            <w:r w:rsidRPr="004C0798">
              <w:rPr>
                <w:rFonts w:asciiTheme="majorHAnsi" w:hAnsiTheme="majorHAnsi" w:cstheme="majorHAnsi"/>
                <w:color w:val="808080" w:themeColor="background1" w:themeShade="80"/>
                <w:sz w:val="20"/>
                <w:szCs w:val="20"/>
              </w:rPr>
              <w:t xml:space="preserve"> of the unit of </w:t>
            </w:r>
            <w:proofErr w:type="spellStart"/>
            <w:r w:rsidRPr="004C0798">
              <w:rPr>
                <w:rFonts w:asciiTheme="majorHAnsi" w:hAnsiTheme="majorHAnsi" w:cstheme="majorHAnsi"/>
                <w:color w:val="808080" w:themeColor="background1" w:themeShade="80"/>
                <w:sz w:val="20"/>
                <w:szCs w:val="20"/>
              </w:rPr>
              <w:t>measurement</w:t>
            </w:r>
            <w:proofErr w:type="spellEnd"/>
            <w:r w:rsidRPr="004C0798">
              <w:rPr>
                <w:rFonts w:asciiTheme="majorHAnsi" w:hAnsiTheme="majorHAnsi" w:cstheme="majorHAnsi"/>
                <w:color w:val="808080" w:themeColor="background1" w:themeShade="80"/>
                <w:sz w:val="20"/>
                <w:szCs w:val="20"/>
              </w:rPr>
              <w:t xml:space="preserve">  </w:t>
            </w:r>
          </w:p>
          <w:p w14:paraId="3069FD60"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describe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what</w:t>
            </w:r>
            <w:proofErr w:type="spellEnd"/>
            <w:r w:rsidRPr="004C0798">
              <w:rPr>
                <w:rFonts w:asciiTheme="majorHAnsi" w:hAnsiTheme="majorHAnsi" w:cstheme="majorHAnsi"/>
                <w:color w:val="808080" w:themeColor="background1" w:themeShade="80"/>
                <w:sz w:val="20"/>
                <w:szCs w:val="20"/>
              </w:rPr>
              <w:t xml:space="preserve"> document(s) </w:t>
            </w:r>
            <w:proofErr w:type="spellStart"/>
            <w:r w:rsidRPr="004C0798">
              <w:rPr>
                <w:rFonts w:asciiTheme="majorHAnsi" w:hAnsiTheme="majorHAnsi" w:cstheme="majorHAnsi"/>
                <w:color w:val="808080" w:themeColor="background1" w:themeShade="80"/>
                <w:sz w:val="20"/>
                <w:szCs w:val="20"/>
              </w:rPr>
              <w:t>will</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used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verify</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achievement</w:t>
            </w:r>
            <w:proofErr w:type="spellEnd"/>
            <w:r w:rsidRPr="004C0798">
              <w:rPr>
                <w:rFonts w:asciiTheme="majorHAnsi" w:hAnsiTheme="majorHAnsi" w:cstheme="majorHAnsi"/>
                <w:color w:val="808080" w:themeColor="background1" w:themeShade="80"/>
                <w:sz w:val="20"/>
                <w:szCs w:val="20"/>
              </w:rPr>
              <w:t xml:space="preserve"> of the unit of </w:t>
            </w:r>
            <w:proofErr w:type="spellStart"/>
            <w:r w:rsidRPr="004C0798">
              <w:rPr>
                <w:rFonts w:asciiTheme="majorHAnsi" w:hAnsiTheme="majorHAnsi" w:cstheme="majorHAnsi"/>
                <w:color w:val="808080" w:themeColor="background1" w:themeShade="80"/>
                <w:sz w:val="20"/>
                <w:szCs w:val="20"/>
              </w:rPr>
              <w:t>measurement</w:t>
            </w:r>
            <w:proofErr w:type="spellEnd"/>
          </w:p>
          <w:p w14:paraId="6D2A15FA"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describe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what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will</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checked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during</w:t>
            </w:r>
            <w:proofErr w:type="spellEnd"/>
            <w:r w:rsidRPr="004C0798">
              <w:rPr>
                <w:rFonts w:asciiTheme="majorHAnsi" w:hAnsiTheme="majorHAnsi" w:cstheme="majorHAnsi"/>
                <w:color w:val="808080" w:themeColor="background1" w:themeShade="80"/>
                <w:sz w:val="20"/>
                <w:szCs w:val="20"/>
              </w:rPr>
              <w:t xml:space="preserve"> management </w:t>
            </w:r>
            <w:proofErr w:type="spellStart"/>
            <w:r w:rsidRPr="004C0798">
              <w:rPr>
                <w:rFonts w:asciiTheme="majorHAnsi" w:hAnsiTheme="majorHAnsi" w:cstheme="majorHAnsi"/>
                <w:color w:val="808080" w:themeColor="background1" w:themeShade="80"/>
                <w:sz w:val="20"/>
                <w:szCs w:val="20"/>
              </w:rPr>
              <w:t>verifications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including</w:t>
            </w:r>
            <w:proofErr w:type="spellEnd"/>
            <w:r w:rsidRPr="004C0798">
              <w:rPr>
                <w:rFonts w:asciiTheme="majorHAnsi" w:hAnsiTheme="majorHAnsi" w:cstheme="majorHAnsi"/>
                <w:color w:val="808080" w:themeColor="background1" w:themeShade="80"/>
                <w:sz w:val="20"/>
                <w:szCs w:val="20"/>
              </w:rPr>
              <w:t xml:space="preserve"> on-the-spot),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by</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whom</w:t>
            </w:r>
            <w:proofErr w:type="spellEnd"/>
            <w:r w:rsidRPr="004C0798">
              <w:rPr>
                <w:rFonts w:asciiTheme="majorHAnsi" w:hAnsiTheme="majorHAnsi" w:cstheme="majorHAnsi"/>
                <w:color w:val="808080" w:themeColor="background1" w:themeShade="80"/>
                <w:sz w:val="20"/>
                <w:szCs w:val="20"/>
              </w:rPr>
              <w:t xml:space="preserve">  </w:t>
            </w:r>
          </w:p>
          <w:p w14:paraId="029A0A51"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describe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what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arrangements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there</w:t>
            </w:r>
            <w:proofErr w:type="spellEnd"/>
            <w:r w:rsidRPr="004C0798">
              <w:rPr>
                <w:rFonts w:asciiTheme="majorHAnsi" w:hAnsiTheme="majorHAnsi" w:cstheme="majorHAnsi"/>
                <w:color w:val="808080" w:themeColor="background1" w:themeShade="80"/>
                <w:sz w:val="20"/>
                <w:szCs w:val="20"/>
              </w:rPr>
              <w:t xml:space="preserve"> are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collect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store</w:t>
            </w:r>
            <w:proofErr w:type="spellEnd"/>
            <w:r w:rsidRPr="004C0798">
              <w:rPr>
                <w:rFonts w:asciiTheme="majorHAnsi" w:hAnsiTheme="majorHAnsi" w:cstheme="majorHAnsi"/>
                <w:color w:val="808080" w:themeColor="background1" w:themeShade="80"/>
                <w:sz w:val="20"/>
                <w:szCs w:val="20"/>
              </w:rPr>
              <w:t xml:space="preserve"> the data/</w:t>
            </w:r>
            <w:proofErr w:type="spellStart"/>
            <w:r w:rsidRPr="004C0798">
              <w:rPr>
                <w:rFonts w:asciiTheme="majorHAnsi" w:hAnsiTheme="majorHAnsi" w:cstheme="majorHAnsi"/>
                <w:color w:val="808080" w:themeColor="background1" w:themeShade="80"/>
                <w:sz w:val="20"/>
                <w:szCs w:val="20"/>
              </w:rPr>
              <w:t>documents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described</w:t>
            </w:r>
            <w:proofErr w:type="spellEnd"/>
          </w:p>
        </w:tc>
        <w:tc>
          <w:tcPr>
            <w:tcW w:w="4992" w:type="dxa"/>
            <w:vAlign w:val="center"/>
          </w:tcPr>
          <w:p w14:paraId="6A8A6784"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r>
      <w:tr w:rsidR="00EA37BF" w:rsidRPr="004C0798" w14:paraId="4713C330" w14:textId="77777777" w:rsidTr="00861438">
        <w:trPr>
          <w:trHeight w:val="300"/>
        </w:trPr>
        <w:tc>
          <w:tcPr>
            <w:tcW w:w="4095" w:type="dxa"/>
            <w:shd w:val="clear" w:color="auto" w:fill="auto"/>
            <w:vAlign w:val="center"/>
          </w:tcPr>
          <w:p w14:paraId="7F59259C"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1.11 </w:t>
            </w:r>
            <w:proofErr w:type="spellStart"/>
            <w:r w:rsidRPr="004C0798">
              <w:rPr>
                <w:rFonts w:asciiTheme="majorHAnsi" w:hAnsiTheme="majorHAnsi" w:cstheme="majorHAnsi"/>
                <w:color w:val="808080" w:themeColor="background1" w:themeShade="80"/>
                <w:sz w:val="20"/>
                <w:szCs w:val="20"/>
              </w:rPr>
              <w:t>Possible</w:t>
            </w:r>
            <w:proofErr w:type="spellEnd"/>
            <w:r w:rsidRPr="004C0798">
              <w:rPr>
                <w:rFonts w:asciiTheme="majorHAnsi" w:hAnsiTheme="majorHAnsi" w:cstheme="majorHAnsi"/>
                <w:color w:val="808080" w:themeColor="background1" w:themeShade="80"/>
                <w:sz w:val="20"/>
                <w:szCs w:val="20"/>
              </w:rPr>
              <w:t xml:space="preserve"> perverse </w:t>
            </w:r>
            <w:proofErr w:type="spellStart"/>
            <w:r w:rsidRPr="004C0798">
              <w:rPr>
                <w:rFonts w:asciiTheme="majorHAnsi" w:hAnsiTheme="majorHAnsi" w:cstheme="majorHAnsi"/>
                <w:color w:val="808080" w:themeColor="background1" w:themeShade="80"/>
                <w:sz w:val="20"/>
                <w:szCs w:val="20"/>
              </w:rPr>
              <w:t>incentives</w:t>
            </w:r>
            <w:proofErr w:type="spellEnd"/>
            <w:r w:rsidRPr="004C0798">
              <w:rPr>
                <w:rFonts w:asciiTheme="majorHAnsi" w:hAnsiTheme="majorHAnsi" w:cstheme="majorHAnsi"/>
                <w:color w:val="808080" w:themeColor="background1" w:themeShade="80"/>
                <w:sz w:val="20"/>
                <w:szCs w:val="20"/>
              </w:rPr>
              <w:t xml:space="preserve"> or </w:t>
            </w:r>
            <w:proofErr w:type="spellStart"/>
            <w:r w:rsidRPr="004C0798">
              <w:rPr>
                <w:rFonts w:asciiTheme="majorHAnsi" w:hAnsiTheme="majorHAnsi" w:cstheme="majorHAnsi"/>
                <w:color w:val="808080" w:themeColor="background1" w:themeShade="80"/>
                <w:sz w:val="20"/>
                <w:szCs w:val="20"/>
              </w:rPr>
              <w:t>problems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caused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by</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this</w:t>
            </w:r>
            <w:proofErr w:type="spellEnd"/>
            <w:r w:rsidRPr="004C0798">
              <w:rPr>
                <w:rFonts w:asciiTheme="majorHAnsi" w:hAnsiTheme="majorHAnsi" w:cstheme="majorHAnsi"/>
                <w:color w:val="808080" w:themeColor="background1" w:themeShade="80"/>
                <w:sz w:val="20"/>
                <w:szCs w:val="20"/>
              </w:rPr>
              <w:t xml:space="preserve"> indicator, </w:t>
            </w:r>
            <w:proofErr w:type="spellStart"/>
            <w:r w:rsidRPr="004C0798">
              <w:rPr>
                <w:rFonts w:asciiTheme="majorHAnsi" w:hAnsiTheme="majorHAnsi" w:cstheme="majorHAnsi"/>
                <w:color w:val="808080" w:themeColor="background1" w:themeShade="80"/>
                <w:sz w:val="20"/>
                <w:szCs w:val="20"/>
              </w:rPr>
              <w:t>how</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they</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could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mitigated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estimated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level</w:t>
            </w:r>
            <w:proofErr w:type="spellEnd"/>
            <w:r w:rsidRPr="004C0798">
              <w:rPr>
                <w:rFonts w:asciiTheme="majorHAnsi" w:hAnsiTheme="majorHAnsi" w:cstheme="majorHAnsi"/>
                <w:color w:val="808080" w:themeColor="background1" w:themeShade="80"/>
                <w:sz w:val="20"/>
                <w:szCs w:val="20"/>
              </w:rPr>
              <w:t xml:space="preserve"> of </w:t>
            </w:r>
            <w:proofErr w:type="spellStart"/>
            <w:r w:rsidRPr="004C0798">
              <w:rPr>
                <w:rFonts w:asciiTheme="majorHAnsi" w:hAnsiTheme="majorHAnsi" w:cstheme="majorHAnsi"/>
                <w:color w:val="808080" w:themeColor="background1" w:themeShade="80"/>
                <w:sz w:val="20"/>
                <w:szCs w:val="20"/>
              </w:rPr>
              <w:t>risk</w:t>
            </w:r>
            <w:proofErr w:type="spellEnd"/>
          </w:p>
        </w:tc>
        <w:tc>
          <w:tcPr>
            <w:tcW w:w="4992" w:type="dxa"/>
            <w:vAlign w:val="center"/>
          </w:tcPr>
          <w:p w14:paraId="1A04D95F"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r>
      <w:tr w:rsidR="00EA37BF" w:rsidRPr="004C0798" w14:paraId="14D537AE" w14:textId="77777777" w:rsidTr="00861438">
        <w:trPr>
          <w:trHeight w:val="300"/>
        </w:trPr>
        <w:tc>
          <w:tcPr>
            <w:tcW w:w="4095" w:type="dxa"/>
            <w:shd w:val="clear" w:color="auto" w:fill="auto"/>
            <w:vAlign w:val="center"/>
          </w:tcPr>
          <w:p w14:paraId="5C33F2AF"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1.12 Total </w:t>
            </w:r>
            <w:proofErr w:type="spellStart"/>
            <w:r w:rsidRPr="004C0798">
              <w:rPr>
                <w:rFonts w:asciiTheme="majorHAnsi" w:hAnsiTheme="majorHAnsi" w:cstheme="majorHAnsi"/>
                <w:color w:val="808080" w:themeColor="background1" w:themeShade="80"/>
                <w:sz w:val="20"/>
                <w:szCs w:val="20"/>
              </w:rPr>
              <w:t>amount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national</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EU) </w:t>
            </w:r>
            <w:proofErr w:type="spellStart"/>
            <w:r w:rsidRPr="004C0798">
              <w:rPr>
                <w:rFonts w:asciiTheme="majorHAnsi" w:hAnsiTheme="majorHAnsi" w:cstheme="majorHAnsi"/>
                <w:color w:val="808080" w:themeColor="background1" w:themeShade="80"/>
                <w:sz w:val="20"/>
                <w:szCs w:val="20"/>
              </w:rPr>
              <w:t>expected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reimbursed</w:t>
            </w:r>
            <w:proofErr w:type="spellEnd"/>
            <w:r w:rsidRPr="004C0798">
              <w:rPr>
                <w:rFonts w:asciiTheme="majorHAnsi" w:hAnsiTheme="majorHAnsi" w:cstheme="majorHAnsi"/>
                <w:color w:val="808080" w:themeColor="background1" w:themeShade="80"/>
                <w:sz w:val="20"/>
                <w:szCs w:val="20"/>
              </w:rPr>
              <w:t xml:space="preserve"> </w:t>
            </w:r>
          </w:p>
        </w:tc>
        <w:tc>
          <w:tcPr>
            <w:tcW w:w="4992" w:type="dxa"/>
            <w:vAlign w:val="center"/>
          </w:tcPr>
          <w:p w14:paraId="4FF21324"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r>
    </w:tbl>
    <w:p w14:paraId="52C5BB64" w14:textId="77777777" w:rsidR="00EA37BF" w:rsidRPr="004C0798" w:rsidRDefault="00EA37BF" w:rsidP="00EA37BF">
      <w:pPr>
        <w:spacing w:after="120" w:line="240" w:lineRule="auto"/>
        <w:rPr>
          <w:rFonts w:asciiTheme="majorHAnsi" w:hAnsiTheme="majorHAnsi" w:cstheme="majorHAnsi"/>
          <w:b/>
          <w:color w:val="808080" w:themeColor="background1" w:themeShade="80"/>
          <w:sz w:val="20"/>
          <w:szCs w:val="20"/>
          <w:u w:val="single"/>
        </w:rPr>
      </w:pPr>
    </w:p>
    <w:p w14:paraId="06B2D97A" w14:textId="77777777" w:rsidR="00EA37BF" w:rsidRPr="004C0798" w:rsidRDefault="00EA37BF" w:rsidP="00EA37BF">
      <w:pPr>
        <w:spacing w:after="120" w:line="240" w:lineRule="auto"/>
        <w:rPr>
          <w:rFonts w:asciiTheme="majorHAnsi" w:hAnsiTheme="majorHAnsi" w:cstheme="majorHAnsi"/>
          <w:b/>
          <w:color w:val="808080" w:themeColor="background1" w:themeShade="80"/>
          <w:sz w:val="20"/>
          <w:szCs w:val="20"/>
          <w:u w:val="single"/>
        </w:rPr>
      </w:pPr>
    </w:p>
    <w:p w14:paraId="164DD140" w14:textId="77777777" w:rsidR="00EA37BF" w:rsidRPr="004C0798" w:rsidRDefault="00EA37BF" w:rsidP="00EA37BF">
      <w:pPr>
        <w:spacing w:after="120" w:line="240" w:lineRule="auto"/>
        <w:rPr>
          <w:rFonts w:asciiTheme="majorHAnsi" w:hAnsiTheme="majorHAnsi" w:cstheme="majorHAnsi"/>
          <w:b/>
          <w:color w:val="808080" w:themeColor="background1" w:themeShade="80"/>
          <w:sz w:val="20"/>
          <w:szCs w:val="20"/>
          <w:u w:val="single"/>
        </w:rPr>
      </w:pPr>
      <w:r w:rsidRPr="004C0798">
        <w:rPr>
          <w:rFonts w:asciiTheme="majorHAnsi" w:hAnsiTheme="majorHAnsi" w:cstheme="majorHAnsi"/>
          <w:b/>
          <w:color w:val="808080" w:themeColor="background1" w:themeShade="80"/>
          <w:sz w:val="20"/>
          <w:szCs w:val="20"/>
          <w:u w:val="single"/>
        </w:rPr>
        <w:t xml:space="preserve">C: </w:t>
      </w:r>
      <w:proofErr w:type="spellStart"/>
      <w:r w:rsidRPr="004C0798">
        <w:rPr>
          <w:rFonts w:asciiTheme="majorHAnsi" w:hAnsiTheme="majorHAnsi" w:cstheme="majorHAnsi"/>
          <w:b/>
          <w:color w:val="808080" w:themeColor="background1" w:themeShade="80"/>
          <w:sz w:val="20"/>
          <w:szCs w:val="20"/>
          <w:u w:val="single"/>
        </w:rPr>
        <w:t>Calculation</w:t>
      </w:r>
      <w:proofErr w:type="spellEnd"/>
      <w:r w:rsidRPr="004C0798">
        <w:rPr>
          <w:rFonts w:asciiTheme="majorHAnsi" w:hAnsiTheme="majorHAnsi" w:cstheme="majorHAnsi"/>
          <w:b/>
          <w:color w:val="808080" w:themeColor="background1" w:themeShade="80"/>
          <w:sz w:val="20"/>
          <w:szCs w:val="20"/>
          <w:u w:val="single"/>
        </w:rPr>
        <w:t xml:space="preserve"> of the standard scale of unit </w:t>
      </w:r>
      <w:proofErr w:type="spellStart"/>
      <w:r w:rsidRPr="004C0798">
        <w:rPr>
          <w:rFonts w:asciiTheme="majorHAnsi" w:hAnsiTheme="majorHAnsi" w:cstheme="majorHAnsi"/>
          <w:b/>
          <w:color w:val="808080" w:themeColor="background1" w:themeShade="80"/>
          <w:sz w:val="20"/>
          <w:szCs w:val="20"/>
          <w:u w:val="single"/>
        </w:rPr>
        <w:t>costs</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lump</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sums</w:t>
      </w:r>
      <w:proofErr w:type="spellEnd"/>
      <w:r w:rsidRPr="004C0798">
        <w:rPr>
          <w:rFonts w:asciiTheme="majorHAnsi" w:hAnsiTheme="majorHAnsi" w:cstheme="majorHAnsi"/>
          <w:b/>
          <w:color w:val="808080" w:themeColor="background1" w:themeShade="80"/>
          <w:sz w:val="20"/>
          <w:szCs w:val="20"/>
          <w:u w:val="single"/>
        </w:rPr>
        <w:t xml:space="preserve"> or </w:t>
      </w:r>
      <w:proofErr w:type="spellStart"/>
      <w:r w:rsidRPr="004C0798">
        <w:rPr>
          <w:rFonts w:asciiTheme="majorHAnsi" w:hAnsiTheme="majorHAnsi" w:cstheme="majorHAnsi"/>
          <w:b/>
          <w:color w:val="808080" w:themeColor="background1" w:themeShade="80"/>
          <w:sz w:val="20"/>
          <w:szCs w:val="20"/>
          <w:u w:val="single"/>
        </w:rPr>
        <w:t>flat</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rates</w:t>
      </w:r>
      <w:proofErr w:type="spellEnd"/>
      <w:r w:rsidRPr="004C0798">
        <w:rPr>
          <w:rFonts w:asciiTheme="majorHAnsi" w:hAnsiTheme="majorHAnsi" w:cstheme="majorHAnsi"/>
          <w:b/>
          <w:i/>
          <w:color w:val="808080" w:themeColor="background1" w:themeShade="80"/>
          <w:sz w:val="20"/>
          <w:szCs w:val="20"/>
          <w:u w:val="single"/>
        </w:rPr>
        <w:t>*</w:t>
      </w:r>
    </w:p>
    <w:p w14:paraId="42613301" w14:textId="77777777" w:rsidR="00EA37BF" w:rsidRPr="004C0798" w:rsidRDefault="00EA37BF" w:rsidP="00EA37BF">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i/>
          <w:color w:val="808080" w:themeColor="background1" w:themeShade="80"/>
          <w:sz w:val="20"/>
          <w:szCs w:val="20"/>
        </w:rPr>
        <w:t>1.</w:t>
      </w:r>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Source</w:t>
      </w:r>
      <w:proofErr w:type="spellEnd"/>
      <w:r w:rsidRPr="004C0798">
        <w:rPr>
          <w:rFonts w:asciiTheme="majorHAnsi" w:hAnsiTheme="majorHAnsi" w:cstheme="majorHAnsi"/>
          <w:color w:val="808080" w:themeColor="background1" w:themeShade="80"/>
          <w:sz w:val="20"/>
          <w:szCs w:val="20"/>
        </w:rPr>
        <w:t xml:space="preserve"> of data </w:t>
      </w:r>
      <w:proofErr w:type="spellStart"/>
      <w:r w:rsidRPr="004C0798">
        <w:rPr>
          <w:rFonts w:asciiTheme="majorHAnsi" w:hAnsiTheme="majorHAnsi" w:cstheme="majorHAnsi"/>
          <w:color w:val="808080" w:themeColor="background1" w:themeShade="80"/>
          <w:sz w:val="20"/>
          <w:szCs w:val="20"/>
        </w:rPr>
        <w:t>used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calculate the standard scale of unit </w:t>
      </w:r>
      <w:proofErr w:type="spellStart"/>
      <w:r w:rsidRPr="004C0798">
        <w:rPr>
          <w:rFonts w:asciiTheme="majorHAnsi" w:hAnsiTheme="majorHAnsi" w:cstheme="majorHAnsi"/>
          <w:color w:val="808080" w:themeColor="background1" w:themeShade="80"/>
          <w:sz w:val="20"/>
          <w:szCs w:val="20"/>
        </w:rPr>
        <w:t>costs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lump</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sums</w:t>
      </w:r>
      <w:proofErr w:type="spellEnd"/>
      <w:r w:rsidRPr="004C0798">
        <w:rPr>
          <w:rFonts w:asciiTheme="majorHAnsi" w:hAnsiTheme="majorHAnsi" w:cstheme="majorHAnsi"/>
          <w:color w:val="808080" w:themeColor="background1" w:themeShade="80"/>
          <w:sz w:val="20"/>
          <w:szCs w:val="20"/>
        </w:rPr>
        <w:t xml:space="preserve"> or </w:t>
      </w:r>
      <w:proofErr w:type="spellStart"/>
      <w:r w:rsidRPr="004C0798">
        <w:rPr>
          <w:rFonts w:asciiTheme="majorHAnsi" w:hAnsiTheme="majorHAnsi" w:cstheme="majorHAnsi"/>
          <w:color w:val="808080" w:themeColor="background1" w:themeShade="80"/>
          <w:sz w:val="20"/>
          <w:szCs w:val="20"/>
        </w:rPr>
        <w:t>flat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rates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produced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collected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recorded</w:t>
      </w:r>
      <w:proofErr w:type="spellEnd"/>
      <w:r w:rsidRPr="004C0798">
        <w:rPr>
          <w:rFonts w:asciiTheme="majorHAnsi" w:hAnsiTheme="majorHAnsi" w:cstheme="majorHAnsi"/>
          <w:color w:val="808080" w:themeColor="background1" w:themeShade="80"/>
          <w:sz w:val="20"/>
          <w:szCs w:val="20"/>
        </w:rPr>
        <w:t xml:space="preserve"> the data; </w:t>
      </w:r>
      <w:proofErr w:type="spellStart"/>
      <w:r w:rsidRPr="004C0798">
        <w:rPr>
          <w:rFonts w:asciiTheme="majorHAnsi" w:hAnsiTheme="majorHAnsi" w:cstheme="majorHAnsi"/>
          <w:color w:val="808080" w:themeColor="background1" w:themeShade="80"/>
          <w:sz w:val="20"/>
          <w:szCs w:val="20"/>
        </w:rPr>
        <w:t>where</w:t>
      </w:r>
      <w:proofErr w:type="spellEnd"/>
      <w:r w:rsidRPr="004C0798">
        <w:rPr>
          <w:rFonts w:asciiTheme="majorHAnsi" w:hAnsiTheme="majorHAnsi" w:cstheme="majorHAnsi"/>
          <w:color w:val="808080" w:themeColor="background1" w:themeShade="80"/>
          <w:sz w:val="20"/>
          <w:szCs w:val="20"/>
        </w:rPr>
        <w:t xml:space="preserve"> the data are </w:t>
      </w:r>
      <w:proofErr w:type="spellStart"/>
      <w:r w:rsidRPr="004C0798">
        <w:rPr>
          <w:rFonts w:asciiTheme="majorHAnsi" w:hAnsiTheme="majorHAnsi" w:cstheme="majorHAnsi"/>
          <w:color w:val="808080" w:themeColor="background1" w:themeShade="80"/>
          <w:sz w:val="20"/>
          <w:szCs w:val="20"/>
        </w:rPr>
        <w:t>stored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cut</w:t>
      </w:r>
      <w:proofErr w:type="spellEnd"/>
      <w:r w:rsidRPr="004C0798">
        <w:rPr>
          <w:rFonts w:asciiTheme="majorHAnsi" w:hAnsiTheme="majorHAnsi" w:cstheme="majorHAnsi"/>
          <w:color w:val="808080" w:themeColor="background1" w:themeShade="80"/>
          <w:sz w:val="20"/>
          <w:szCs w:val="20"/>
        </w:rPr>
        <w:t xml:space="preserve">-off </w:t>
      </w:r>
      <w:proofErr w:type="spellStart"/>
      <w:r w:rsidRPr="004C0798">
        <w:rPr>
          <w:rFonts w:asciiTheme="majorHAnsi" w:hAnsiTheme="majorHAnsi" w:cstheme="majorHAnsi"/>
          <w:color w:val="808080" w:themeColor="background1" w:themeShade="80"/>
          <w:sz w:val="20"/>
          <w:szCs w:val="20"/>
        </w:rPr>
        <w:t>dates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validation</w:t>
      </w:r>
      <w:proofErr w:type="spellEnd"/>
      <w:r w:rsidRPr="004C0798">
        <w:rPr>
          <w:rFonts w:asciiTheme="majorHAnsi" w:hAnsiTheme="majorHAnsi" w:cstheme="majorHAnsi"/>
          <w:color w:val="808080" w:themeColor="background1" w:themeShade="80"/>
          <w:sz w:val="20"/>
          <w:szCs w:val="20"/>
        </w:rPr>
        <w:t>, etc.).</w:t>
      </w:r>
    </w:p>
    <w:p w14:paraId="25EE9464" w14:textId="77777777" w:rsidR="00EA37BF" w:rsidRPr="004C0798" w:rsidRDefault="00EA37BF" w:rsidP="00EA37BF">
      <w:pPr>
        <w:pBdr>
          <w:top w:val="single" w:sz="4" w:space="1" w:color="000000"/>
          <w:left w:val="single" w:sz="4" w:space="4" w:color="000000"/>
          <w:bottom w:val="single" w:sz="4" w:space="5" w:color="000000"/>
          <w:right w:val="single" w:sz="4" w:space="4" w:color="000000"/>
        </w:pBdr>
        <w:spacing w:after="120" w:line="240" w:lineRule="auto"/>
        <w:rPr>
          <w:rFonts w:asciiTheme="majorHAnsi" w:hAnsiTheme="majorHAnsi" w:cstheme="majorHAnsi"/>
          <w:color w:val="808080" w:themeColor="background1" w:themeShade="80"/>
          <w:sz w:val="20"/>
          <w:szCs w:val="20"/>
        </w:rPr>
      </w:pPr>
    </w:p>
    <w:p w14:paraId="4CBF90CD" w14:textId="77777777" w:rsidR="00EA37BF" w:rsidRPr="004C0798" w:rsidRDefault="00EA37BF" w:rsidP="00EA37BF">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i/>
          <w:color w:val="808080" w:themeColor="background1" w:themeShade="80"/>
          <w:sz w:val="20"/>
          <w:szCs w:val="20"/>
        </w:rPr>
        <w:t>2.</w:t>
      </w:r>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Please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specify</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why</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proposed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method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calculation</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is</w:t>
      </w:r>
      <w:proofErr w:type="spellEnd"/>
      <w:r w:rsidRPr="004C0798">
        <w:rPr>
          <w:rFonts w:asciiTheme="majorHAnsi" w:hAnsiTheme="majorHAnsi" w:cstheme="majorHAnsi"/>
          <w:color w:val="808080" w:themeColor="background1" w:themeShade="80"/>
          <w:sz w:val="20"/>
          <w:szCs w:val="20"/>
        </w:rPr>
        <w:t xml:space="preserve"> relevant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type</w:t>
      </w:r>
      <w:proofErr w:type="spellEnd"/>
      <w:r w:rsidRPr="004C0798">
        <w:rPr>
          <w:rFonts w:asciiTheme="majorHAnsi" w:hAnsiTheme="majorHAnsi" w:cstheme="majorHAnsi"/>
          <w:color w:val="808080" w:themeColor="background1" w:themeShade="80"/>
          <w:sz w:val="20"/>
          <w:szCs w:val="20"/>
        </w:rPr>
        <w:t xml:space="preserve"> of </w:t>
      </w:r>
      <w:proofErr w:type="spellStart"/>
      <w:r w:rsidRPr="004C0798">
        <w:rPr>
          <w:rFonts w:asciiTheme="majorHAnsi" w:hAnsiTheme="majorHAnsi" w:cstheme="majorHAnsi"/>
          <w:color w:val="808080" w:themeColor="background1" w:themeShade="80"/>
          <w:sz w:val="20"/>
          <w:szCs w:val="20"/>
        </w:rPr>
        <w:t>operation</w:t>
      </w:r>
      <w:proofErr w:type="spellEnd"/>
      <w:r w:rsidRPr="004C0798">
        <w:rPr>
          <w:rFonts w:asciiTheme="majorHAnsi" w:hAnsiTheme="majorHAnsi" w:cstheme="majorHAnsi"/>
          <w:color w:val="808080" w:themeColor="background1" w:themeShade="80"/>
          <w:sz w:val="20"/>
          <w:szCs w:val="20"/>
        </w:rPr>
        <w:t>:</w:t>
      </w:r>
    </w:p>
    <w:p w14:paraId="6C22E575" w14:textId="77777777" w:rsidR="00EA37BF" w:rsidRPr="004C0798" w:rsidRDefault="00EA37BF" w:rsidP="00EA37BF">
      <w:pPr>
        <w:pBdr>
          <w:top w:val="single" w:sz="4" w:space="1" w:color="000000"/>
          <w:left w:val="single" w:sz="4" w:space="4" w:color="000000"/>
          <w:bottom w:val="single" w:sz="4" w:space="5" w:color="000000"/>
          <w:right w:val="single" w:sz="4" w:space="4" w:color="000000"/>
        </w:pBdr>
        <w:spacing w:after="120" w:line="240" w:lineRule="auto"/>
        <w:rPr>
          <w:rFonts w:asciiTheme="majorHAnsi" w:hAnsiTheme="majorHAnsi" w:cstheme="majorHAnsi"/>
          <w:color w:val="808080" w:themeColor="background1" w:themeShade="80"/>
          <w:sz w:val="20"/>
          <w:szCs w:val="20"/>
        </w:rPr>
      </w:pPr>
    </w:p>
    <w:p w14:paraId="11C9A34E" w14:textId="77777777" w:rsidR="00EA37BF" w:rsidRPr="004C0798" w:rsidRDefault="00EA37BF" w:rsidP="00EA37BF">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i/>
          <w:color w:val="808080" w:themeColor="background1" w:themeShade="80"/>
          <w:sz w:val="20"/>
          <w:szCs w:val="20"/>
        </w:rPr>
        <w:t>3.</w:t>
      </w:r>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Please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specify</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how</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calculations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were</w:t>
      </w:r>
      <w:proofErr w:type="spellEnd"/>
      <w:r w:rsidRPr="004C0798">
        <w:rPr>
          <w:rFonts w:asciiTheme="majorHAnsi" w:hAnsiTheme="majorHAnsi" w:cstheme="majorHAnsi"/>
          <w:color w:val="808080" w:themeColor="background1" w:themeShade="80"/>
          <w:sz w:val="20"/>
          <w:szCs w:val="20"/>
        </w:rPr>
        <w:t xml:space="preserve"> made, in particular </w:t>
      </w:r>
      <w:proofErr w:type="spellStart"/>
      <w:r w:rsidRPr="004C0798">
        <w:rPr>
          <w:rFonts w:asciiTheme="majorHAnsi" w:hAnsiTheme="majorHAnsi" w:cstheme="majorHAnsi"/>
          <w:color w:val="808080" w:themeColor="background1" w:themeShade="80"/>
          <w:sz w:val="20"/>
          <w:szCs w:val="20"/>
        </w:rPr>
        <w:t>including</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any</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assumptions</w:t>
      </w:r>
      <w:proofErr w:type="spellEnd"/>
      <w:r w:rsidRPr="004C0798">
        <w:rPr>
          <w:rFonts w:asciiTheme="majorHAnsi" w:hAnsiTheme="majorHAnsi" w:cstheme="majorHAnsi"/>
          <w:color w:val="808080" w:themeColor="background1" w:themeShade="80"/>
          <w:sz w:val="20"/>
          <w:szCs w:val="20"/>
        </w:rPr>
        <w:t xml:space="preserve"> made in </w:t>
      </w:r>
      <w:proofErr w:type="spellStart"/>
      <w:r w:rsidRPr="004C0798">
        <w:rPr>
          <w:rFonts w:asciiTheme="majorHAnsi" w:hAnsiTheme="majorHAnsi" w:cstheme="majorHAnsi"/>
          <w:color w:val="808080" w:themeColor="background1" w:themeShade="80"/>
          <w:sz w:val="20"/>
          <w:szCs w:val="20"/>
        </w:rPr>
        <w:t>terms</w:t>
      </w:r>
      <w:proofErr w:type="spellEnd"/>
      <w:r w:rsidRPr="004C0798">
        <w:rPr>
          <w:rFonts w:asciiTheme="majorHAnsi" w:hAnsiTheme="majorHAnsi" w:cstheme="majorHAnsi"/>
          <w:color w:val="808080" w:themeColor="background1" w:themeShade="80"/>
          <w:sz w:val="20"/>
          <w:szCs w:val="20"/>
        </w:rPr>
        <w:t xml:space="preserve"> of quality or </w:t>
      </w:r>
      <w:proofErr w:type="spellStart"/>
      <w:r w:rsidRPr="004C0798">
        <w:rPr>
          <w:rFonts w:asciiTheme="majorHAnsi" w:hAnsiTheme="majorHAnsi" w:cstheme="majorHAnsi"/>
          <w:color w:val="808080" w:themeColor="background1" w:themeShade="80"/>
          <w:sz w:val="20"/>
          <w:szCs w:val="20"/>
        </w:rPr>
        <w:t>quantities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Where</w:t>
      </w:r>
      <w:proofErr w:type="spellEnd"/>
      <w:r w:rsidRPr="004C0798">
        <w:rPr>
          <w:rFonts w:asciiTheme="majorHAnsi" w:hAnsiTheme="majorHAnsi" w:cstheme="majorHAnsi"/>
          <w:color w:val="808080" w:themeColor="background1" w:themeShade="80"/>
          <w:sz w:val="20"/>
          <w:szCs w:val="20"/>
        </w:rPr>
        <w:t xml:space="preserve"> relevant, </w:t>
      </w:r>
      <w:proofErr w:type="spellStart"/>
      <w:r w:rsidRPr="004C0798">
        <w:rPr>
          <w:rFonts w:asciiTheme="majorHAnsi" w:hAnsiTheme="majorHAnsi" w:cstheme="majorHAnsi"/>
          <w:color w:val="808080" w:themeColor="background1" w:themeShade="80"/>
          <w:sz w:val="20"/>
          <w:szCs w:val="20"/>
        </w:rPr>
        <w:t>statistical</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evidence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benchmarks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should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used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attached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this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annex</w:t>
      </w:r>
      <w:proofErr w:type="spellEnd"/>
      <w:r w:rsidRPr="004C0798">
        <w:rPr>
          <w:rFonts w:asciiTheme="majorHAnsi" w:hAnsiTheme="majorHAnsi" w:cstheme="majorHAnsi"/>
          <w:color w:val="808080" w:themeColor="background1" w:themeShade="80"/>
          <w:sz w:val="20"/>
          <w:szCs w:val="20"/>
        </w:rPr>
        <w:t xml:space="preserve"> in a format </w:t>
      </w:r>
      <w:proofErr w:type="spellStart"/>
      <w:r w:rsidRPr="004C0798">
        <w:rPr>
          <w:rFonts w:asciiTheme="majorHAnsi" w:hAnsiTheme="majorHAnsi" w:cstheme="majorHAnsi"/>
          <w:color w:val="808080" w:themeColor="background1" w:themeShade="80"/>
          <w:sz w:val="20"/>
          <w:szCs w:val="20"/>
        </w:rPr>
        <w:t>that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is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usable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by</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Commission</w:t>
      </w:r>
      <w:proofErr w:type="spellEnd"/>
      <w:r w:rsidRPr="004C0798">
        <w:rPr>
          <w:rFonts w:asciiTheme="majorHAnsi" w:hAnsiTheme="majorHAnsi" w:cstheme="majorHAnsi"/>
          <w:color w:val="808080" w:themeColor="background1" w:themeShade="80"/>
          <w:sz w:val="20"/>
          <w:szCs w:val="20"/>
        </w:rPr>
        <w:t xml:space="preserve">. </w:t>
      </w:r>
    </w:p>
    <w:p w14:paraId="7F8AAD17" w14:textId="77777777" w:rsidR="00EA37BF" w:rsidRPr="004C0798" w:rsidRDefault="00EA37BF" w:rsidP="00EA37BF">
      <w:pPr>
        <w:pBdr>
          <w:top w:val="single" w:sz="4" w:space="1" w:color="000000"/>
          <w:left w:val="single" w:sz="4" w:space="4" w:color="000000"/>
          <w:bottom w:val="single" w:sz="4" w:space="1" w:color="000000"/>
          <w:right w:val="single" w:sz="4" w:space="4" w:color="000000"/>
        </w:pBdr>
        <w:spacing w:after="120" w:line="240" w:lineRule="auto"/>
        <w:rPr>
          <w:rFonts w:asciiTheme="majorHAnsi" w:hAnsiTheme="majorHAnsi" w:cstheme="majorHAnsi"/>
          <w:color w:val="808080" w:themeColor="background1" w:themeShade="80"/>
          <w:sz w:val="20"/>
          <w:szCs w:val="20"/>
        </w:rPr>
      </w:pPr>
    </w:p>
    <w:p w14:paraId="061F4FAF" w14:textId="77777777" w:rsidR="00EA37BF" w:rsidRPr="004C0798" w:rsidRDefault="00EA37BF" w:rsidP="00EA37BF">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i/>
          <w:color w:val="808080" w:themeColor="background1" w:themeShade="80"/>
          <w:sz w:val="20"/>
          <w:szCs w:val="20"/>
        </w:rPr>
        <w:t>4</w:t>
      </w:r>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Please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explain</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how</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you</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have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ensured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that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only</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eligible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expenditure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was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included</w:t>
      </w:r>
      <w:proofErr w:type="spellEnd"/>
      <w:r w:rsidRPr="004C0798">
        <w:rPr>
          <w:rFonts w:asciiTheme="majorHAnsi" w:hAnsiTheme="majorHAnsi" w:cstheme="majorHAnsi"/>
          <w:color w:val="808080" w:themeColor="background1" w:themeShade="80"/>
          <w:sz w:val="20"/>
          <w:szCs w:val="20"/>
        </w:rPr>
        <w:t xml:space="preserve"> in the </w:t>
      </w:r>
      <w:proofErr w:type="spellStart"/>
      <w:r w:rsidRPr="004C0798">
        <w:rPr>
          <w:rFonts w:asciiTheme="majorHAnsi" w:hAnsiTheme="majorHAnsi" w:cstheme="majorHAnsi"/>
          <w:color w:val="808080" w:themeColor="background1" w:themeShade="80"/>
          <w:sz w:val="20"/>
          <w:szCs w:val="20"/>
        </w:rPr>
        <w:t>calculation</w:t>
      </w:r>
      <w:proofErr w:type="spellEnd"/>
      <w:r w:rsidRPr="004C0798">
        <w:rPr>
          <w:rFonts w:asciiTheme="majorHAnsi" w:hAnsiTheme="majorHAnsi" w:cstheme="majorHAnsi"/>
          <w:color w:val="808080" w:themeColor="background1" w:themeShade="80"/>
          <w:sz w:val="20"/>
          <w:szCs w:val="20"/>
        </w:rPr>
        <w:t xml:space="preserve"> of the standard scale of unit cost, </w:t>
      </w:r>
      <w:proofErr w:type="spellStart"/>
      <w:r w:rsidRPr="004C0798">
        <w:rPr>
          <w:rFonts w:asciiTheme="majorHAnsi" w:hAnsiTheme="majorHAnsi" w:cstheme="majorHAnsi"/>
          <w:color w:val="808080" w:themeColor="background1" w:themeShade="80"/>
          <w:sz w:val="20"/>
          <w:szCs w:val="20"/>
        </w:rPr>
        <w:t>lump</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sum</w:t>
      </w:r>
      <w:proofErr w:type="spellEnd"/>
      <w:r w:rsidRPr="004C0798">
        <w:rPr>
          <w:rFonts w:asciiTheme="majorHAnsi" w:hAnsiTheme="majorHAnsi" w:cstheme="majorHAnsi"/>
          <w:color w:val="808080" w:themeColor="background1" w:themeShade="80"/>
          <w:sz w:val="20"/>
          <w:szCs w:val="20"/>
        </w:rPr>
        <w:t xml:space="preserve"> or </w:t>
      </w:r>
      <w:proofErr w:type="spellStart"/>
      <w:r w:rsidRPr="004C0798">
        <w:rPr>
          <w:rFonts w:asciiTheme="majorHAnsi" w:hAnsiTheme="majorHAnsi" w:cstheme="majorHAnsi"/>
          <w:color w:val="808080" w:themeColor="background1" w:themeShade="80"/>
          <w:sz w:val="20"/>
          <w:szCs w:val="20"/>
        </w:rPr>
        <w:t>flat</w:t>
      </w:r>
      <w:proofErr w:type="spellEnd"/>
      <w:r w:rsidRPr="004C0798">
        <w:rPr>
          <w:rFonts w:asciiTheme="majorHAnsi" w:hAnsiTheme="majorHAnsi" w:cstheme="majorHAnsi"/>
          <w:color w:val="808080" w:themeColor="background1" w:themeShade="80"/>
          <w:sz w:val="20"/>
          <w:szCs w:val="20"/>
        </w:rPr>
        <w:t xml:space="preserve"> rate.</w:t>
      </w:r>
    </w:p>
    <w:p w14:paraId="7A4097A8" w14:textId="77777777" w:rsidR="00EA37BF" w:rsidRPr="004C0798" w:rsidRDefault="00EA37BF" w:rsidP="00EA37BF">
      <w:pPr>
        <w:pBdr>
          <w:top w:val="single" w:sz="4" w:space="1" w:color="000000"/>
          <w:left w:val="single" w:sz="4" w:space="4" w:color="000000"/>
          <w:bottom w:val="single" w:sz="4" w:space="1" w:color="000000"/>
          <w:right w:val="single" w:sz="4" w:space="4" w:color="000000"/>
        </w:pBdr>
        <w:spacing w:after="120" w:line="240" w:lineRule="auto"/>
        <w:rPr>
          <w:rFonts w:asciiTheme="majorHAnsi" w:hAnsiTheme="majorHAnsi" w:cstheme="majorHAnsi"/>
          <w:color w:val="808080" w:themeColor="background1" w:themeShade="80"/>
          <w:sz w:val="20"/>
          <w:szCs w:val="20"/>
        </w:rPr>
      </w:pPr>
    </w:p>
    <w:p w14:paraId="1B06F2E2" w14:textId="77777777" w:rsidR="00EA37BF" w:rsidRPr="004C0798" w:rsidRDefault="00EA37BF" w:rsidP="00EA37BF">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i/>
          <w:color w:val="808080" w:themeColor="background1" w:themeShade="80"/>
          <w:sz w:val="20"/>
          <w:szCs w:val="20"/>
        </w:rPr>
        <w:t>5</w:t>
      </w:r>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Assessment</w:t>
      </w:r>
      <w:proofErr w:type="spellEnd"/>
      <w:r w:rsidRPr="004C0798">
        <w:rPr>
          <w:rFonts w:asciiTheme="majorHAnsi" w:hAnsiTheme="majorHAnsi" w:cstheme="majorHAnsi"/>
          <w:color w:val="808080" w:themeColor="background1" w:themeShade="80"/>
          <w:sz w:val="20"/>
          <w:szCs w:val="20"/>
        </w:rPr>
        <w:t xml:space="preserve"> of the audit </w:t>
      </w:r>
      <w:proofErr w:type="spellStart"/>
      <w:r w:rsidRPr="004C0798">
        <w:rPr>
          <w:rFonts w:asciiTheme="majorHAnsi" w:hAnsiTheme="majorHAnsi" w:cstheme="majorHAnsi"/>
          <w:color w:val="808080" w:themeColor="background1" w:themeShade="80"/>
          <w:sz w:val="20"/>
          <w:szCs w:val="20"/>
        </w:rPr>
        <w:t>authority</w:t>
      </w:r>
      <w:proofErr w:type="spellEnd"/>
      <w:r w:rsidRPr="004C0798">
        <w:rPr>
          <w:rFonts w:asciiTheme="majorHAnsi" w:hAnsiTheme="majorHAnsi" w:cstheme="majorHAnsi"/>
          <w:color w:val="808080" w:themeColor="background1" w:themeShade="80"/>
          <w:sz w:val="20"/>
          <w:szCs w:val="20"/>
        </w:rPr>
        <w:t xml:space="preserve">(ies) of the </w:t>
      </w:r>
      <w:proofErr w:type="spellStart"/>
      <w:r w:rsidRPr="004C0798">
        <w:rPr>
          <w:rFonts w:asciiTheme="majorHAnsi" w:hAnsiTheme="majorHAnsi" w:cstheme="majorHAnsi"/>
          <w:color w:val="808080" w:themeColor="background1" w:themeShade="80"/>
          <w:sz w:val="20"/>
          <w:szCs w:val="20"/>
        </w:rPr>
        <w:t>calculation</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methodology</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amounts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arrangements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ensure</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verification</w:t>
      </w:r>
      <w:proofErr w:type="spellEnd"/>
      <w:r w:rsidRPr="004C0798">
        <w:rPr>
          <w:rFonts w:asciiTheme="majorHAnsi" w:hAnsiTheme="majorHAnsi" w:cstheme="majorHAnsi"/>
          <w:color w:val="808080" w:themeColor="background1" w:themeShade="80"/>
          <w:sz w:val="20"/>
          <w:szCs w:val="20"/>
        </w:rPr>
        <w:t xml:space="preserve">, quality, </w:t>
      </w:r>
      <w:proofErr w:type="spellStart"/>
      <w:r w:rsidRPr="004C0798">
        <w:rPr>
          <w:rFonts w:asciiTheme="majorHAnsi" w:hAnsiTheme="majorHAnsi" w:cstheme="majorHAnsi"/>
          <w:color w:val="808080" w:themeColor="background1" w:themeShade="80"/>
          <w:sz w:val="20"/>
          <w:szCs w:val="20"/>
        </w:rPr>
        <w:t>collection</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storage</w:t>
      </w:r>
      <w:proofErr w:type="spellEnd"/>
      <w:r w:rsidRPr="004C0798">
        <w:rPr>
          <w:rFonts w:asciiTheme="majorHAnsi" w:hAnsiTheme="majorHAnsi" w:cstheme="majorHAnsi"/>
          <w:color w:val="808080" w:themeColor="background1" w:themeShade="80"/>
          <w:sz w:val="20"/>
          <w:szCs w:val="20"/>
        </w:rPr>
        <w:t xml:space="preserve"> of data.</w:t>
      </w:r>
    </w:p>
    <w:p w14:paraId="74A07C79" w14:textId="77777777" w:rsidR="00EA37BF" w:rsidRPr="004C0798" w:rsidRDefault="00EA37BF" w:rsidP="00EA37BF">
      <w:pPr>
        <w:pBdr>
          <w:top w:val="single" w:sz="4" w:space="1" w:color="000000"/>
          <w:left w:val="single" w:sz="4" w:space="4" w:color="000000"/>
          <w:bottom w:val="single" w:sz="4" w:space="1" w:color="000000"/>
          <w:right w:val="single" w:sz="4" w:space="4" w:color="000000"/>
        </w:pBdr>
        <w:spacing w:after="120" w:line="240" w:lineRule="auto"/>
        <w:rPr>
          <w:rFonts w:asciiTheme="majorHAnsi" w:hAnsiTheme="majorHAnsi" w:cstheme="majorHAnsi"/>
          <w:color w:val="808080" w:themeColor="background1" w:themeShade="80"/>
          <w:sz w:val="20"/>
          <w:szCs w:val="20"/>
        </w:rPr>
      </w:pPr>
    </w:p>
    <w:p w14:paraId="4BD42CE3" w14:textId="77777777" w:rsidR="00EA37BF" w:rsidRPr="004C0798" w:rsidRDefault="00EA37BF" w:rsidP="00EA37BF">
      <w:pPr>
        <w:spacing w:after="120" w:line="240" w:lineRule="auto"/>
        <w:rPr>
          <w:rFonts w:asciiTheme="majorHAnsi" w:hAnsiTheme="majorHAnsi" w:cstheme="majorHAnsi"/>
          <w:b/>
          <w:color w:val="808080" w:themeColor="background1" w:themeShade="80"/>
          <w:sz w:val="20"/>
          <w:szCs w:val="20"/>
        </w:rPr>
      </w:pPr>
    </w:p>
    <w:p w14:paraId="25CACEEB" w14:textId="77777777" w:rsidR="00EA37BF" w:rsidRPr="004C0798" w:rsidRDefault="00EA37BF" w:rsidP="00EA37BF">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Justifications</w:t>
      </w:r>
      <w:proofErr w:type="spellEnd"/>
      <w:r w:rsidRPr="004C0798">
        <w:rPr>
          <w:rFonts w:asciiTheme="majorHAnsi" w:hAnsiTheme="majorHAnsi" w:cstheme="majorHAnsi"/>
          <w:i/>
          <w:color w:val="808080" w:themeColor="background1" w:themeShade="80"/>
          <w:sz w:val="20"/>
          <w:szCs w:val="20"/>
        </w:rPr>
        <w:t xml:space="preserve"> on the </w:t>
      </w:r>
      <w:proofErr w:type="spellStart"/>
      <w:r w:rsidRPr="004C0798">
        <w:rPr>
          <w:rFonts w:asciiTheme="majorHAnsi" w:hAnsiTheme="majorHAnsi" w:cstheme="majorHAnsi"/>
          <w:i/>
          <w:color w:val="808080" w:themeColor="background1" w:themeShade="80"/>
          <w:sz w:val="20"/>
          <w:szCs w:val="20"/>
        </w:rPr>
        <w:t>underlying</w:t>
      </w:r>
      <w:proofErr w:type="spellEnd"/>
      <w:r w:rsidRPr="004C0798">
        <w:rPr>
          <w:rFonts w:asciiTheme="majorHAnsi" w:hAnsiTheme="majorHAnsi" w:cstheme="majorHAnsi"/>
          <w:i/>
          <w:color w:val="808080" w:themeColor="background1" w:themeShade="80"/>
          <w:sz w:val="20"/>
          <w:szCs w:val="20"/>
        </w:rPr>
        <w:t xml:space="preserve"> data, the </w:t>
      </w:r>
      <w:proofErr w:type="spellStart"/>
      <w:r w:rsidRPr="004C0798">
        <w:rPr>
          <w:rFonts w:asciiTheme="majorHAnsi" w:hAnsiTheme="majorHAnsi" w:cstheme="majorHAnsi"/>
          <w:i/>
          <w:color w:val="808080" w:themeColor="background1" w:themeShade="80"/>
          <w:sz w:val="20"/>
          <w:szCs w:val="20"/>
        </w:rPr>
        <w:t>calculation</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methodology</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and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resulting</w:t>
      </w:r>
      <w:proofErr w:type="spellEnd"/>
      <w:r w:rsidRPr="004C0798">
        <w:rPr>
          <w:rFonts w:asciiTheme="majorHAnsi" w:hAnsiTheme="majorHAnsi" w:cstheme="majorHAnsi"/>
          <w:i/>
          <w:color w:val="808080" w:themeColor="background1" w:themeShade="80"/>
          <w:sz w:val="20"/>
          <w:szCs w:val="20"/>
        </w:rPr>
        <w:t xml:space="preserve"> rate or </w:t>
      </w:r>
      <w:proofErr w:type="spellStart"/>
      <w:r w:rsidRPr="004C0798">
        <w:rPr>
          <w:rFonts w:asciiTheme="majorHAnsi" w:hAnsiTheme="majorHAnsi" w:cstheme="majorHAnsi"/>
          <w:i/>
          <w:color w:val="808080" w:themeColor="background1" w:themeShade="80"/>
          <w:sz w:val="20"/>
          <w:szCs w:val="20"/>
        </w:rPr>
        <w:t>amount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and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related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assessment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by</w:t>
      </w:r>
      <w:proofErr w:type="spellEnd"/>
      <w:r w:rsidRPr="004C0798">
        <w:rPr>
          <w:rFonts w:asciiTheme="majorHAnsi" w:hAnsiTheme="majorHAnsi" w:cstheme="majorHAnsi"/>
          <w:i/>
          <w:color w:val="808080" w:themeColor="background1" w:themeShade="80"/>
          <w:sz w:val="20"/>
          <w:szCs w:val="20"/>
        </w:rPr>
        <w:t xml:space="preserve"> the audit </w:t>
      </w:r>
      <w:proofErr w:type="spellStart"/>
      <w:r w:rsidRPr="004C0798">
        <w:rPr>
          <w:rFonts w:asciiTheme="majorHAnsi" w:hAnsiTheme="majorHAnsi" w:cstheme="majorHAnsi"/>
          <w:i/>
          <w:color w:val="808080" w:themeColor="background1" w:themeShade="80"/>
          <w:sz w:val="20"/>
          <w:szCs w:val="20"/>
        </w:rPr>
        <w:t>authority</w:t>
      </w:r>
      <w:proofErr w:type="spellEnd"/>
      <w:r w:rsidRPr="004C0798">
        <w:rPr>
          <w:rFonts w:asciiTheme="majorHAnsi" w:hAnsiTheme="majorHAnsi" w:cstheme="majorHAnsi"/>
          <w:i/>
          <w:color w:val="808080" w:themeColor="background1" w:themeShade="80"/>
          <w:sz w:val="20"/>
          <w:szCs w:val="20"/>
        </w:rPr>
        <w:t xml:space="preserve"> [(in </w:t>
      </w:r>
      <w:proofErr w:type="spellStart"/>
      <w:r w:rsidRPr="004C0798">
        <w:rPr>
          <w:rFonts w:asciiTheme="majorHAnsi" w:hAnsiTheme="majorHAnsi" w:cstheme="majorHAnsi"/>
          <w:i/>
          <w:color w:val="808080" w:themeColor="background1" w:themeShade="80"/>
          <w:sz w:val="20"/>
          <w:szCs w:val="20"/>
        </w:rPr>
        <w:t>points</w:t>
      </w:r>
      <w:proofErr w:type="spellEnd"/>
      <w:r w:rsidRPr="004C0798">
        <w:rPr>
          <w:rFonts w:asciiTheme="majorHAnsi" w:hAnsiTheme="majorHAnsi" w:cstheme="majorHAnsi"/>
          <w:i/>
          <w:color w:val="808080" w:themeColor="background1" w:themeShade="80"/>
          <w:sz w:val="20"/>
          <w:szCs w:val="20"/>
        </w:rPr>
        <w:t xml:space="preserve"> 1, 3 </w:t>
      </w:r>
      <w:proofErr w:type="spellStart"/>
      <w:r w:rsidRPr="004C0798">
        <w:rPr>
          <w:rFonts w:asciiTheme="majorHAnsi" w:hAnsiTheme="majorHAnsi" w:cstheme="majorHAnsi"/>
          <w:i/>
          <w:color w:val="808080" w:themeColor="background1" w:themeShade="80"/>
          <w:sz w:val="20"/>
          <w:szCs w:val="20"/>
        </w:rPr>
        <w:t>and</w:t>
      </w:r>
      <w:proofErr w:type="spellEnd"/>
      <w:r w:rsidRPr="004C0798">
        <w:rPr>
          <w:rFonts w:asciiTheme="majorHAnsi" w:hAnsiTheme="majorHAnsi" w:cstheme="majorHAnsi"/>
          <w:i/>
          <w:color w:val="808080" w:themeColor="background1" w:themeShade="80"/>
          <w:sz w:val="20"/>
          <w:szCs w:val="20"/>
        </w:rPr>
        <w:t xml:space="preserve"> 5)] are </w:t>
      </w:r>
      <w:proofErr w:type="spellStart"/>
      <w:r w:rsidRPr="004C0798">
        <w:rPr>
          <w:rFonts w:asciiTheme="majorHAnsi" w:hAnsiTheme="majorHAnsi" w:cstheme="majorHAnsi"/>
          <w:i/>
          <w:color w:val="808080" w:themeColor="background1" w:themeShade="80"/>
          <w:sz w:val="20"/>
          <w:szCs w:val="20"/>
        </w:rPr>
        <w:t>not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required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when</w:t>
      </w:r>
      <w:proofErr w:type="spellEnd"/>
      <w:r w:rsidRPr="004C0798">
        <w:rPr>
          <w:rFonts w:asciiTheme="majorHAnsi" w:hAnsiTheme="majorHAnsi" w:cstheme="majorHAnsi"/>
          <w:i/>
          <w:color w:val="808080" w:themeColor="background1" w:themeShade="80"/>
          <w:sz w:val="20"/>
          <w:szCs w:val="20"/>
        </w:rPr>
        <w:t xml:space="preserve"> the </w:t>
      </w:r>
      <w:proofErr w:type="spellStart"/>
      <w:r w:rsidRPr="004C0798">
        <w:rPr>
          <w:rFonts w:asciiTheme="majorHAnsi" w:hAnsiTheme="majorHAnsi" w:cstheme="majorHAnsi"/>
          <w:i/>
          <w:color w:val="808080" w:themeColor="background1" w:themeShade="80"/>
          <w:sz w:val="20"/>
          <w:szCs w:val="20"/>
        </w:rPr>
        <w:t>simplified</w:t>
      </w:r>
      <w:proofErr w:type="spellEnd"/>
      <w:r w:rsidRPr="004C0798">
        <w:rPr>
          <w:rFonts w:asciiTheme="majorHAnsi" w:hAnsiTheme="majorHAnsi" w:cstheme="majorHAnsi"/>
          <w:i/>
          <w:color w:val="808080" w:themeColor="background1" w:themeShade="80"/>
          <w:sz w:val="20"/>
          <w:szCs w:val="20"/>
        </w:rPr>
        <w:t xml:space="preserve"> cost </w:t>
      </w:r>
      <w:proofErr w:type="spellStart"/>
      <w:r w:rsidRPr="004C0798">
        <w:rPr>
          <w:rFonts w:asciiTheme="majorHAnsi" w:hAnsiTheme="majorHAnsi" w:cstheme="majorHAnsi"/>
          <w:i/>
          <w:color w:val="808080" w:themeColor="background1" w:themeShade="80"/>
          <w:sz w:val="20"/>
          <w:szCs w:val="20"/>
        </w:rPr>
        <w:t>options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submitted</w:t>
      </w:r>
      <w:proofErr w:type="spellEnd"/>
      <w:r w:rsidRPr="004C0798">
        <w:rPr>
          <w:rFonts w:asciiTheme="majorHAnsi" w:hAnsiTheme="majorHAnsi" w:cstheme="majorHAnsi"/>
          <w:i/>
          <w:color w:val="808080" w:themeColor="background1" w:themeShade="80"/>
          <w:sz w:val="20"/>
          <w:szCs w:val="20"/>
        </w:rPr>
        <w:t xml:space="preserve"> in </w:t>
      </w:r>
      <w:proofErr w:type="spellStart"/>
      <w:r w:rsidRPr="004C0798">
        <w:rPr>
          <w:rFonts w:asciiTheme="majorHAnsi" w:hAnsiTheme="majorHAnsi" w:cstheme="majorHAnsi"/>
          <w:i/>
          <w:color w:val="808080" w:themeColor="background1" w:themeShade="80"/>
          <w:sz w:val="20"/>
          <w:szCs w:val="20"/>
        </w:rPr>
        <w:t>this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Appendix</w:t>
      </w:r>
      <w:proofErr w:type="spellEnd"/>
      <w:r w:rsidRPr="004C0798">
        <w:rPr>
          <w:rFonts w:asciiTheme="majorHAnsi" w:hAnsiTheme="majorHAnsi" w:cstheme="majorHAnsi"/>
          <w:i/>
          <w:color w:val="808080" w:themeColor="background1" w:themeShade="80"/>
          <w:sz w:val="20"/>
          <w:szCs w:val="20"/>
        </w:rPr>
        <w:t xml:space="preserve"> are </w:t>
      </w:r>
      <w:proofErr w:type="spellStart"/>
      <w:r w:rsidRPr="004C0798">
        <w:rPr>
          <w:rFonts w:asciiTheme="majorHAnsi" w:hAnsiTheme="majorHAnsi" w:cstheme="majorHAnsi"/>
          <w:i/>
          <w:color w:val="808080" w:themeColor="background1" w:themeShade="80"/>
          <w:sz w:val="20"/>
          <w:szCs w:val="20"/>
        </w:rPr>
        <w:t>established</w:t>
      </w:r>
      <w:proofErr w:type="spellEnd"/>
      <w:r w:rsidRPr="004C0798">
        <w:rPr>
          <w:rFonts w:asciiTheme="majorHAnsi" w:hAnsiTheme="majorHAnsi" w:cstheme="majorHAnsi"/>
          <w:i/>
          <w:color w:val="808080" w:themeColor="background1" w:themeShade="80"/>
          <w:sz w:val="20"/>
          <w:szCs w:val="20"/>
        </w:rPr>
        <w:t xml:space="preserve"> at Union </w:t>
      </w:r>
      <w:proofErr w:type="spellStart"/>
      <w:r w:rsidRPr="004C0798">
        <w:rPr>
          <w:rFonts w:asciiTheme="majorHAnsi" w:hAnsiTheme="majorHAnsi" w:cstheme="majorHAnsi"/>
          <w:i/>
          <w:color w:val="808080" w:themeColor="background1" w:themeShade="80"/>
          <w:sz w:val="20"/>
          <w:szCs w:val="20"/>
        </w:rPr>
        <w:t>level</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other</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policies</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through</w:t>
      </w:r>
      <w:proofErr w:type="spellEnd"/>
      <w:r w:rsidRPr="004C0798">
        <w:rPr>
          <w:rFonts w:asciiTheme="majorHAnsi" w:hAnsiTheme="majorHAnsi" w:cstheme="majorHAnsi"/>
          <w:i/>
          <w:color w:val="808080" w:themeColor="background1" w:themeShade="80"/>
          <w:sz w:val="20"/>
          <w:szCs w:val="20"/>
        </w:rPr>
        <w:t xml:space="preserve"> the DA </w:t>
      </w:r>
      <w:proofErr w:type="spellStart"/>
      <w:r w:rsidRPr="004C0798">
        <w:rPr>
          <w:rFonts w:asciiTheme="majorHAnsi" w:hAnsiTheme="majorHAnsi" w:cstheme="majorHAnsi"/>
          <w:i/>
          <w:color w:val="808080" w:themeColor="background1" w:themeShade="80"/>
          <w:sz w:val="20"/>
          <w:szCs w:val="20"/>
        </w:rPr>
        <w:t>referred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in </w:t>
      </w:r>
      <w:proofErr w:type="spellStart"/>
      <w:r w:rsidRPr="004C0798">
        <w:rPr>
          <w:rFonts w:asciiTheme="majorHAnsi" w:hAnsiTheme="majorHAnsi" w:cstheme="majorHAnsi"/>
          <w:i/>
          <w:color w:val="808080" w:themeColor="background1" w:themeShade="80"/>
          <w:sz w:val="20"/>
          <w:szCs w:val="20"/>
        </w:rPr>
        <w:t>Article</w:t>
      </w:r>
      <w:proofErr w:type="spellEnd"/>
      <w:r w:rsidRPr="004C0798">
        <w:rPr>
          <w:rFonts w:asciiTheme="majorHAnsi" w:hAnsiTheme="majorHAnsi" w:cstheme="majorHAnsi"/>
          <w:i/>
          <w:color w:val="808080" w:themeColor="background1" w:themeShade="80"/>
          <w:sz w:val="20"/>
          <w:szCs w:val="20"/>
        </w:rPr>
        <w:t xml:space="preserve"> 88(4)].</w:t>
      </w:r>
    </w:p>
    <w:p w14:paraId="7070C7AA" w14:textId="77777777" w:rsidR="00EA37BF" w:rsidRPr="004C0798" w:rsidRDefault="00EA37BF" w:rsidP="00EA37BF">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br w:type="page"/>
      </w:r>
    </w:p>
    <w:p w14:paraId="31A8AABD" w14:textId="77777777" w:rsidR="00EA37BF" w:rsidRPr="004C0798" w:rsidRDefault="00EA37BF" w:rsidP="00EA37BF">
      <w:pPr>
        <w:spacing w:after="120" w:line="240" w:lineRule="auto"/>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i/>
          <w:color w:val="808080" w:themeColor="background1" w:themeShade="80"/>
          <w:sz w:val="20"/>
          <w:szCs w:val="20"/>
        </w:rPr>
        <w:lastRenderedPageBreak/>
        <w:t>Appendix</w:t>
      </w:r>
      <w:proofErr w:type="spellEnd"/>
      <w:r w:rsidRPr="004C0798">
        <w:rPr>
          <w:rFonts w:asciiTheme="majorHAnsi" w:hAnsiTheme="majorHAnsi" w:cstheme="majorHAnsi"/>
          <w:b/>
          <w:i/>
          <w:color w:val="808080" w:themeColor="background1" w:themeShade="80"/>
          <w:sz w:val="20"/>
          <w:szCs w:val="20"/>
        </w:rPr>
        <w:t xml:space="preserve"> 2:</w:t>
      </w:r>
      <w:r w:rsidRPr="004C0798">
        <w:rPr>
          <w:rFonts w:asciiTheme="majorHAnsi" w:hAnsiTheme="majorHAnsi" w:cstheme="majorHAnsi"/>
          <w:b/>
          <w:color w:val="808080" w:themeColor="background1" w:themeShade="80"/>
          <w:sz w:val="20"/>
          <w:szCs w:val="20"/>
        </w:rPr>
        <w:t xml:space="preserve"> </w:t>
      </w:r>
      <w:r w:rsidRPr="004C0798">
        <w:rPr>
          <w:rFonts w:asciiTheme="majorHAnsi" w:hAnsiTheme="majorHAnsi" w:cstheme="majorHAnsi"/>
          <w:b/>
          <w:i/>
          <w:color w:val="808080" w:themeColor="background1" w:themeShade="80"/>
          <w:sz w:val="20"/>
          <w:szCs w:val="20"/>
        </w:rPr>
        <w:t xml:space="preserve">[Union </w:t>
      </w:r>
      <w:proofErr w:type="spellStart"/>
      <w:r w:rsidRPr="004C0798">
        <w:rPr>
          <w:rFonts w:asciiTheme="majorHAnsi" w:hAnsiTheme="majorHAnsi" w:cstheme="majorHAnsi"/>
          <w:b/>
          <w:i/>
          <w:color w:val="808080" w:themeColor="background1" w:themeShade="80"/>
          <w:sz w:val="20"/>
          <w:szCs w:val="20"/>
        </w:rPr>
        <w:t>contribution</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based</w:t>
      </w:r>
      <w:proofErr w:type="spellEnd"/>
      <w:r w:rsidRPr="004C0798">
        <w:rPr>
          <w:rFonts w:asciiTheme="majorHAnsi" w:hAnsiTheme="majorHAnsi" w:cstheme="majorHAnsi"/>
          <w:b/>
          <w:i/>
          <w:color w:val="808080" w:themeColor="background1" w:themeShade="80"/>
          <w:sz w:val="20"/>
          <w:szCs w:val="20"/>
        </w:rPr>
        <w:t xml:space="preserve"> on </w:t>
      </w:r>
      <w:proofErr w:type="spellStart"/>
      <w:r w:rsidRPr="004C0798">
        <w:rPr>
          <w:rFonts w:asciiTheme="majorHAnsi" w:hAnsiTheme="majorHAnsi" w:cstheme="majorHAnsi"/>
          <w:b/>
          <w:i/>
          <w:color w:val="808080" w:themeColor="background1" w:themeShade="80"/>
          <w:sz w:val="20"/>
          <w:szCs w:val="20"/>
        </w:rPr>
        <w:t>financing</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not</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linked</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to</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costs</w:t>
      </w:r>
      <w:proofErr w:type="spellEnd"/>
      <w:r w:rsidRPr="004C0798">
        <w:rPr>
          <w:rFonts w:asciiTheme="majorHAnsi" w:hAnsiTheme="majorHAnsi" w:cstheme="majorHAnsi"/>
          <w:b/>
          <w:i/>
          <w:color w:val="808080" w:themeColor="background1" w:themeShade="80"/>
          <w:sz w:val="20"/>
          <w:szCs w:val="20"/>
        </w:rPr>
        <w:t>]</w:t>
      </w:r>
      <w:r w:rsidRPr="004C0798">
        <w:rPr>
          <w:rFonts w:asciiTheme="majorHAnsi" w:hAnsiTheme="majorHAnsi" w:cstheme="majorHAnsi"/>
          <w:b/>
          <w:i/>
          <w:color w:val="808080" w:themeColor="background1" w:themeShade="80"/>
          <w:sz w:val="20"/>
          <w:szCs w:val="20"/>
          <w:vertAlign w:val="superscript"/>
        </w:rPr>
        <w:footnoteReference w:id="12"/>
      </w:r>
    </w:p>
    <w:p w14:paraId="2EAAD061" w14:textId="77777777" w:rsidR="00EA37BF" w:rsidRPr="004C0798" w:rsidRDefault="00EA37BF" w:rsidP="00EA37BF">
      <w:pPr>
        <w:spacing w:after="120" w:line="240" w:lineRule="auto"/>
        <w:jc w:val="center"/>
        <w:rPr>
          <w:rFonts w:asciiTheme="majorHAnsi" w:hAnsiTheme="majorHAnsi" w:cstheme="majorHAnsi"/>
          <w:b/>
          <w:color w:val="808080" w:themeColor="background1" w:themeShade="80"/>
          <w:sz w:val="20"/>
          <w:szCs w:val="20"/>
          <w:u w:val="single"/>
        </w:rPr>
      </w:pPr>
    </w:p>
    <w:p w14:paraId="6A08EA29" w14:textId="77777777" w:rsidR="00EA37BF" w:rsidRPr="004C0798" w:rsidRDefault="00EA37BF" w:rsidP="00EA37BF">
      <w:pPr>
        <w:spacing w:after="120" w:line="240" w:lineRule="auto"/>
        <w:jc w:val="center"/>
        <w:rPr>
          <w:rFonts w:asciiTheme="majorHAnsi" w:hAnsiTheme="majorHAnsi" w:cstheme="majorHAnsi"/>
          <w:b/>
          <w:color w:val="808080" w:themeColor="background1" w:themeShade="80"/>
          <w:sz w:val="20"/>
          <w:szCs w:val="20"/>
          <w:u w:val="single"/>
        </w:rPr>
      </w:pPr>
      <w:proofErr w:type="spellStart"/>
      <w:r w:rsidRPr="004C0798">
        <w:rPr>
          <w:rFonts w:asciiTheme="majorHAnsi" w:hAnsiTheme="majorHAnsi" w:cstheme="majorHAnsi"/>
          <w:b/>
          <w:color w:val="808080" w:themeColor="background1" w:themeShade="80"/>
          <w:sz w:val="20"/>
          <w:szCs w:val="20"/>
          <w:u w:val="single"/>
        </w:rPr>
        <w:t>Template</w:t>
      </w:r>
      <w:proofErr w:type="spellEnd"/>
      <w:r w:rsidRPr="004C0798">
        <w:rPr>
          <w:rFonts w:asciiTheme="majorHAnsi" w:hAnsiTheme="majorHAnsi" w:cstheme="majorHAnsi"/>
          <w:b/>
          <w:color w:val="808080" w:themeColor="background1" w:themeShade="80"/>
          <w:sz w:val="20"/>
          <w:szCs w:val="20"/>
          <w:u w:val="single"/>
        </w:rPr>
        <w:t xml:space="preserve"> for </w:t>
      </w:r>
      <w:proofErr w:type="spellStart"/>
      <w:r w:rsidRPr="004C0798">
        <w:rPr>
          <w:rFonts w:asciiTheme="majorHAnsi" w:hAnsiTheme="majorHAnsi" w:cstheme="majorHAnsi"/>
          <w:b/>
          <w:color w:val="808080" w:themeColor="background1" w:themeShade="80"/>
          <w:sz w:val="20"/>
          <w:szCs w:val="20"/>
          <w:u w:val="single"/>
        </w:rPr>
        <w:t>submitting</w:t>
      </w:r>
      <w:proofErr w:type="spellEnd"/>
      <w:r w:rsidRPr="004C0798">
        <w:rPr>
          <w:rFonts w:asciiTheme="majorHAnsi" w:hAnsiTheme="majorHAnsi" w:cstheme="majorHAnsi"/>
          <w:b/>
          <w:color w:val="808080" w:themeColor="background1" w:themeShade="80"/>
          <w:sz w:val="20"/>
          <w:szCs w:val="20"/>
          <w:u w:val="single"/>
        </w:rPr>
        <w:t xml:space="preserve"> data for the </w:t>
      </w:r>
      <w:proofErr w:type="spellStart"/>
      <w:r w:rsidRPr="004C0798">
        <w:rPr>
          <w:rFonts w:asciiTheme="majorHAnsi" w:hAnsiTheme="majorHAnsi" w:cstheme="majorHAnsi"/>
          <w:b/>
          <w:color w:val="808080" w:themeColor="background1" w:themeShade="80"/>
          <w:sz w:val="20"/>
          <w:szCs w:val="20"/>
          <w:u w:val="single"/>
        </w:rPr>
        <w:t>consideration</w:t>
      </w:r>
      <w:proofErr w:type="spellEnd"/>
      <w:r w:rsidRPr="004C0798">
        <w:rPr>
          <w:rFonts w:asciiTheme="majorHAnsi" w:hAnsiTheme="majorHAnsi" w:cstheme="majorHAnsi"/>
          <w:b/>
          <w:color w:val="808080" w:themeColor="background1" w:themeShade="80"/>
          <w:sz w:val="20"/>
          <w:szCs w:val="20"/>
          <w:u w:val="single"/>
        </w:rPr>
        <w:t xml:space="preserve"> of the </w:t>
      </w:r>
      <w:proofErr w:type="spellStart"/>
      <w:r w:rsidRPr="004C0798">
        <w:rPr>
          <w:rFonts w:asciiTheme="majorHAnsi" w:hAnsiTheme="majorHAnsi" w:cstheme="majorHAnsi"/>
          <w:b/>
          <w:color w:val="808080" w:themeColor="background1" w:themeShade="80"/>
          <w:sz w:val="20"/>
          <w:szCs w:val="20"/>
          <w:u w:val="single"/>
        </w:rPr>
        <w:t>Commission</w:t>
      </w:r>
      <w:proofErr w:type="spellEnd"/>
    </w:p>
    <w:p w14:paraId="730C0753" w14:textId="77777777" w:rsidR="00EA37BF" w:rsidRPr="004C0798" w:rsidRDefault="00EA37BF" w:rsidP="00EA37BF">
      <w:pPr>
        <w:spacing w:after="120" w:line="240" w:lineRule="auto"/>
        <w:jc w:val="center"/>
        <w:rPr>
          <w:rFonts w:asciiTheme="majorHAnsi" w:hAnsiTheme="majorHAnsi" w:cstheme="majorHAnsi"/>
          <w:b/>
          <w:i/>
          <w:color w:val="808080" w:themeColor="background1" w:themeShade="80"/>
          <w:sz w:val="20"/>
          <w:szCs w:val="20"/>
        </w:rPr>
      </w:pPr>
      <w:r w:rsidRPr="004C0798">
        <w:rPr>
          <w:rFonts w:asciiTheme="majorHAnsi" w:hAnsiTheme="majorHAnsi" w:cstheme="majorHAnsi"/>
          <w:b/>
          <w:color w:val="808080" w:themeColor="background1" w:themeShade="80"/>
          <w:sz w:val="20"/>
          <w:szCs w:val="20"/>
          <w:u w:val="single"/>
        </w:rPr>
        <w:t>(</w:t>
      </w:r>
      <w:proofErr w:type="spellStart"/>
      <w:r w:rsidRPr="004C0798">
        <w:rPr>
          <w:rFonts w:asciiTheme="majorHAnsi" w:hAnsiTheme="majorHAnsi" w:cstheme="majorHAnsi"/>
          <w:b/>
          <w:color w:val="808080" w:themeColor="background1" w:themeShade="80"/>
          <w:sz w:val="20"/>
          <w:szCs w:val="20"/>
          <w:u w:val="single"/>
        </w:rPr>
        <w:t>Article</w:t>
      </w:r>
      <w:proofErr w:type="spellEnd"/>
      <w:r w:rsidRPr="004C0798">
        <w:rPr>
          <w:rFonts w:asciiTheme="majorHAnsi" w:hAnsiTheme="majorHAnsi" w:cstheme="majorHAnsi"/>
          <w:b/>
          <w:color w:val="808080" w:themeColor="background1" w:themeShade="80"/>
          <w:sz w:val="20"/>
          <w:szCs w:val="20"/>
          <w:u w:val="single"/>
        </w:rPr>
        <w:t xml:space="preserve"> 89)</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6"/>
        <w:gridCol w:w="4516"/>
      </w:tblGrid>
      <w:tr w:rsidR="00EA37BF" w:rsidRPr="004C0798" w14:paraId="033170DC" w14:textId="77777777" w:rsidTr="00861438">
        <w:tc>
          <w:tcPr>
            <w:tcW w:w="4546" w:type="dxa"/>
            <w:shd w:val="clear" w:color="auto" w:fill="auto"/>
          </w:tcPr>
          <w:p w14:paraId="2F81F297"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Date of </w:t>
            </w:r>
            <w:proofErr w:type="spellStart"/>
            <w:r w:rsidRPr="004C0798">
              <w:rPr>
                <w:rFonts w:asciiTheme="majorHAnsi" w:hAnsiTheme="majorHAnsi" w:cstheme="majorHAnsi"/>
                <w:color w:val="808080" w:themeColor="background1" w:themeShade="80"/>
                <w:sz w:val="20"/>
                <w:szCs w:val="20"/>
              </w:rPr>
              <w:t>submitting</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proposal</w:t>
            </w:r>
            <w:proofErr w:type="spellEnd"/>
          </w:p>
        </w:tc>
        <w:tc>
          <w:tcPr>
            <w:tcW w:w="4516" w:type="dxa"/>
            <w:shd w:val="clear" w:color="auto" w:fill="auto"/>
          </w:tcPr>
          <w:p w14:paraId="27445303"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r w:rsidR="00EA37BF" w:rsidRPr="004C0798" w14:paraId="36A7ADF0" w14:textId="77777777" w:rsidTr="00861438">
        <w:tc>
          <w:tcPr>
            <w:tcW w:w="4546" w:type="dxa"/>
            <w:shd w:val="clear" w:color="auto" w:fill="auto"/>
          </w:tcPr>
          <w:p w14:paraId="1AC36870"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Current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version</w:t>
            </w:r>
            <w:proofErr w:type="spellEnd"/>
            <w:r w:rsidRPr="004C0798">
              <w:rPr>
                <w:rFonts w:asciiTheme="majorHAnsi" w:hAnsiTheme="majorHAnsi" w:cstheme="majorHAnsi"/>
                <w:color w:val="808080" w:themeColor="background1" w:themeShade="80"/>
                <w:sz w:val="20"/>
                <w:szCs w:val="20"/>
              </w:rPr>
              <w:t xml:space="preserve"> </w:t>
            </w:r>
          </w:p>
        </w:tc>
        <w:tc>
          <w:tcPr>
            <w:tcW w:w="4516" w:type="dxa"/>
            <w:shd w:val="clear" w:color="auto" w:fill="auto"/>
          </w:tcPr>
          <w:p w14:paraId="558A533A"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bl>
    <w:p w14:paraId="59C8B02B" w14:textId="77777777" w:rsidR="00EA37BF" w:rsidRPr="004C0798" w:rsidRDefault="00EA37BF" w:rsidP="00EA37BF">
      <w:pPr>
        <w:spacing w:after="120" w:line="240" w:lineRule="auto"/>
        <w:jc w:val="center"/>
        <w:rPr>
          <w:rFonts w:asciiTheme="majorHAnsi" w:hAnsiTheme="majorHAnsi" w:cstheme="majorHAnsi"/>
          <w:b/>
          <w:i/>
          <w:color w:val="808080" w:themeColor="background1" w:themeShade="80"/>
          <w:sz w:val="20"/>
          <w:szCs w:val="20"/>
        </w:rPr>
        <w:sectPr w:rsidR="00EA37BF" w:rsidRPr="004C0798" w:rsidSect="004C0798">
          <w:headerReference w:type="even" r:id="rId20"/>
          <w:headerReference w:type="default" r:id="rId21"/>
          <w:footerReference w:type="even" r:id="rId22"/>
          <w:footerReference w:type="default" r:id="rId23"/>
          <w:headerReference w:type="first" r:id="rId24"/>
          <w:footerReference w:type="first" r:id="rId25"/>
          <w:pgSz w:w="11906" w:h="16838" w:code="9"/>
          <w:pgMar w:top="567" w:right="1134" w:bottom="567" w:left="1134" w:header="567" w:footer="567" w:gutter="0"/>
          <w:cols w:space="708"/>
        </w:sectPr>
      </w:pPr>
    </w:p>
    <w:p w14:paraId="031B559D" w14:textId="77777777" w:rsidR="00EA37BF" w:rsidRPr="004C0798" w:rsidRDefault="00EA37BF" w:rsidP="00EA37BF">
      <w:pPr>
        <w:spacing w:after="120" w:line="240" w:lineRule="auto"/>
        <w:rPr>
          <w:rFonts w:asciiTheme="majorHAnsi" w:hAnsiTheme="majorHAnsi" w:cstheme="majorHAnsi"/>
          <w:b/>
          <w:color w:val="808080" w:themeColor="background1" w:themeShade="80"/>
          <w:sz w:val="20"/>
          <w:szCs w:val="20"/>
          <w:u w:val="single"/>
        </w:rPr>
      </w:pPr>
      <w:r w:rsidRPr="004C0798">
        <w:rPr>
          <w:rFonts w:asciiTheme="majorHAnsi" w:hAnsiTheme="majorHAnsi" w:cstheme="majorHAnsi"/>
          <w:b/>
          <w:color w:val="808080" w:themeColor="background1" w:themeShade="80"/>
          <w:sz w:val="20"/>
          <w:szCs w:val="20"/>
          <w:u w:val="single"/>
        </w:rPr>
        <w:lastRenderedPageBreak/>
        <w:t>A.</w:t>
      </w:r>
      <w:r w:rsidRPr="004C0798">
        <w:rPr>
          <w:rFonts w:asciiTheme="majorHAnsi" w:hAnsiTheme="majorHAnsi" w:cstheme="majorHAnsi"/>
          <w:b/>
          <w:color w:val="808080" w:themeColor="background1" w:themeShade="80"/>
          <w:sz w:val="20"/>
          <w:szCs w:val="20"/>
          <w:u w:val="single"/>
        </w:rPr>
        <w:tab/>
      </w:r>
      <w:proofErr w:type="spellStart"/>
      <w:r w:rsidRPr="004C0798">
        <w:rPr>
          <w:rFonts w:asciiTheme="majorHAnsi" w:hAnsiTheme="majorHAnsi" w:cstheme="majorHAnsi"/>
          <w:b/>
          <w:color w:val="808080" w:themeColor="background1" w:themeShade="80"/>
          <w:sz w:val="20"/>
          <w:szCs w:val="20"/>
          <w:u w:val="single"/>
        </w:rPr>
        <w:t>Summary</w:t>
      </w:r>
      <w:proofErr w:type="spellEnd"/>
      <w:r w:rsidRPr="004C0798">
        <w:rPr>
          <w:rFonts w:asciiTheme="majorHAnsi" w:hAnsiTheme="majorHAnsi" w:cstheme="majorHAnsi"/>
          <w:b/>
          <w:color w:val="808080" w:themeColor="background1" w:themeShade="80"/>
          <w:sz w:val="20"/>
          <w:szCs w:val="20"/>
          <w:u w:val="single"/>
        </w:rPr>
        <w:t xml:space="preserve"> of the </w:t>
      </w:r>
      <w:proofErr w:type="spellStart"/>
      <w:r w:rsidRPr="004C0798">
        <w:rPr>
          <w:rFonts w:asciiTheme="majorHAnsi" w:hAnsiTheme="majorHAnsi" w:cstheme="majorHAnsi"/>
          <w:b/>
          <w:color w:val="808080" w:themeColor="background1" w:themeShade="80"/>
          <w:sz w:val="20"/>
          <w:szCs w:val="20"/>
          <w:u w:val="single"/>
        </w:rPr>
        <w:t>main</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elements</w:t>
      </w:r>
      <w:proofErr w:type="spellEnd"/>
      <w:r w:rsidRPr="004C0798">
        <w:rPr>
          <w:rFonts w:asciiTheme="majorHAnsi" w:hAnsiTheme="majorHAnsi" w:cstheme="majorHAnsi"/>
          <w:b/>
          <w:color w:val="808080" w:themeColor="background1" w:themeShade="80"/>
          <w:sz w:val="20"/>
          <w:szCs w:val="20"/>
          <w:u w:val="single"/>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873"/>
        <w:gridCol w:w="958"/>
        <w:gridCol w:w="1535"/>
        <w:gridCol w:w="1569"/>
        <w:gridCol w:w="598"/>
        <w:gridCol w:w="1026"/>
        <w:gridCol w:w="1158"/>
        <w:gridCol w:w="1176"/>
      </w:tblGrid>
      <w:tr w:rsidR="00EA37BF" w:rsidRPr="004C0798" w14:paraId="46D29EB4" w14:textId="77777777" w:rsidTr="00861438">
        <w:trPr>
          <w:jc w:val="center"/>
        </w:trPr>
        <w:tc>
          <w:tcPr>
            <w:tcW w:w="1026" w:type="dxa"/>
          </w:tcPr>
          <w:p w14:paraId="4AB02267" w14:textId="77777777" w:rsidR="00EA37BF" w:rsidRPr="004C0798" w:rsidRDefault="00EA37BF" w:rsidP="00861438">
            <w:pPr>
              <w:spacing w:after="120" w:line="240" w:lineRule="auto"/>
              <w:jc w:val="center"/>
              <w:rPr>
                <w:rFonts w:asciiTheme="majorHAnsi" w:hAnsiTheme="majorHAnsi" w:cstheme="majorHAnsi"/>
                <w:b/>
                <w:color w:val="808080" w:themeColor="background1" w:themeShade="80"/>
                <w:sz w:val="20"/>
                <w:szCs w:val="20"/>
              </w:rPr>
            </w:pPr>
            <w:r w:rsidRPr="004C0798">
              <w:rPr>
                <w:rFonts w:asciiTheme="majorHAnsi" w:hAnsiTheme="majorHAnsi" w:cstheme="majorHAnsi"/>
                <w:b/>
                <w:i/>
                <w:color w:val="808080" w:themeColor="background1" w:themeShade="80"/>
                <w:sz w:val="20"/>
                <w:szCs w:val="20"/>
              </w:rPr>
              <w:t>Fund</w:t>
            </w:r>
            <w:r w:rsidRPr="004C0798">
              <w:rPr>
                <w:rFonts w:asciiTheme="majorHAnsi" w:hAnsiTheme="majorHAnsi" w:cstheme="majorHAnsi"/>
                <w:b/>
                <w:i/>
                <w:color w:val="808080" w:themeColor="background1" w:themeShade="80"/>
                <w:sz w:val="20"/>
                <w:szCs w:val="20"/>
                <w:vertAlign w:val="superscript"/>
              </w:rPr>
              <w:footnoteReference w:id="13"/>
            </w:r>
          </w:p>
        </w:tc>
        <w:tc>
          <w:tcPr>
            <w:tcW w:w="1243" w:type="dxa"/>
          </w:tcPr>
          <w:p w14:paraId="6224B65D" w14:textId="77777777" w:rsidR="00EA37BF" w:rsidRPr="004C0798" w:rsidRDefault="00EA37BF" w:rsidP="00861438">
            <w:pPr>
              <w:spacing w:after="120" w:line="240" w:lineRule="auto"/>
              <w:jc w:val="center"/>
              <w:rPr>
                <w:rFonts w:asciiTheme="majorHAnsi" w:hAnsiTheme="majorHAnsi" w:cstheme="majorHAnsi"/>
                <w:b/>
                <w:color w:val="808080" w:themeColor="background1" w:themeShade="80"/>
                <w:sz w:val="20"/>
                <w:szCs w:val="20"/>
              </w:rPr>
            </w:pPr>
            <w:r w:rsidRPr="004C0798">
              <w:rPr>
                <w:rFonts w:asciiTheme="majorHAnsi" w:hAnsiTheme="majorHAnsi" w:cstheme="majorHAnsi"/>
                <w:b/>
                <w:i/>
                <w:color w:val="808080" w:themeColor="background1" w:themeShade="80"/>
                <w:sz w:val="20"/>
                <w:szCs w:val="20"/>
              </w:rPr>
              <w:t xml:space="preserve">Specific </w:t>
            </w:r>
            <w:proofErr w:type="spellStart"/>
            <w:r w:rsidRPr="004C0798">
              <w:rPr>
                <w:rFonts w:asciiTheme="majorHAnsi" w:hAnsiTheme="majorHAnsi" w:cstheme="majorHAnsi"/>
                <w:b/>
                <w:i/>
                <w:color w:val="808080" w:themeColor="background1" w:themeShade="80"/>
                <w:sz w:val="20"/>
                <w:szCs w:val="20"/>
              </w:rPr>
              <w:t>objective</w:t>
            </w:r>
            <w:proofErr w:type="spellEnd"/>
            <w:r w:rsidRPr="004C0798">
              <w:rPr>
                <w:rFonts w:asciiTheme="majorHAnsi" w:hAnsiTheme="majorHAnsi" w:cstheme="majorHAnsi"/>
                <w:b/>
                <w:i/>
                <w:color w:val="808080" w:themeColor="background1" w:themeShade="80"/>
                <w:sz w:val="20"/>
                <w:szCs w:val="20"/>
                <w:vertAlign w:val="superscript"/>
              </w:rPr>
              <w:footnoteReference w:id="14"/>
            </w:r>
          </w:p>
        </w:tc>
        <w:tc>
          <w:tcPr>
            <w:tcW w:w="1378" w:type="dxa"/>
          </w:tcPr>
          <w:p w14:paraId="357502AD" w14:textId="77777777" w:rsidR="00EA37BF" w:rsidRPr="004C0798" w:rsidRDefault="00EA37BF" w:rsidP="00861438">
            <w:pPr>
              <w:spacing w:after="120" w:line="240" w:lineRule="auto"/>
              <w:jc w:val="center"/>
              <w:rPr>
                <w:rFonts w:asciiTheme="majorHAnsi" w:hAnsiTheme="majorHAnsi" w:cstheme="majorHAnsi"/>
                <w:b/>
                <w:color w:val="808080" w:themeColor="background1" w:themeShade="80"/>
                <w:sz w:val="20"/>
                <w:szCs w:val="20"/>
              </w:rPr>
            </w:pPr>
            <w:r w:rsidRPr="004C0798">
              <w:rPr>
                <w:rFonts w:asciiTheme="majorHAnsi" w:hAnsiTheme="majorHAnsi" w:cstheme="majorHAnsi"/>
                <w:b/>
                <w:i/>
                <w:color w:val="808080" w:themeColor="background1" w:themeShade="80"/>
                <w:sz w:val="20"/>
                <w:szCs w:val="20"/>
              </w:rPr>
              <w:t xml:space="preserve">The </w:t>
            </w:r>
            <w:proofErr w:type="spellStart"/>
            <w:r w:rsidRPr="004C0798">
              <w:rPr>
                <w:rFonts w:asciiTheme="majorHAnsi" w:hAnsiTheme="majorHAnsi" w:cstheme="majorHAnsi"/>
                <w:b/>
                <w:i/>
                <w:color w:val="808080" w:themeColor="background1" w:themeShade="80"/>
                <w:sz w:val="20"/>
                <w:szCs w:val="20"/>
              </w:rPr>
              <w:t>amount</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covered</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by</w:t>
            </w:r>
            <w:proofErr w:type="spellEnd"/>
            <w:r w:rsidRPr="004C0798">
              <w:rPr>
                <w:rFonts w:asciiTheme="majorHAnsi" w:hAnsiTheme="majorHAnsi" w:cstheme="majorHAnsi"/>
                <w:b/>
                <w:i/>
                <w:color w:val="808080" w:themeColor="background1" w:themeShade="80"/>
                <w:sz w:val="20"/>
                <w:szCs w:val="20"/>
              </w:rPr>
              <w:t xml:space="preserve"> the </w:t>
            </w:r>
            <w:proofErr w:type="spellStart"/>
            <w:r w:rsidRPr="004C0798">
              <w:rPr>
                <w:rFonts w:asciiTheme="majorHAnsi" w:hAnsiTheme="majorHAnsi" w:cstheme="majorHAnsi"/>
                <w:b/>
                <w:i/>
                <w:color w:val="808080" w:themeColor="background1" w:themeShade="80"/>
                <w:sz w:val="20"/>
                <w:szCs w:val="20"/>
              </w:rPr>
              <w:t>financing</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not</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linked</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to</w:t>
            </w:r>
            <w:proofErr w:type="spellEnd"/>
            <w:r w:rsidRPr="004C0798">
              <w:rPr>
                <w:rFonts w:asciiTheme="majorHAnsi" w:hAnsiTheme="majorHAnsi" w:cstheme="majorHAnsi"/>
                <w:b/>
                <w:i/>
                <w:color w:val="808080" w:themeColor="background1" w:themeShade="80"/>
                <w:sz w:val="20"/>
                <w:szCs w:val="20"/>
              </w:rPr>
              <w:t xml:space="preserve"> </w:t>
            </w:r>
            <w:proofErr w:type="spellStart"/>
            <w:r w:rsidRPr="004C0798">
              <w:rPr>
                <w:rFonts w:asciiTheme="majorHAnsi" w:hAnsiTheme="majorHAnsi" w:cstheme="majorHAnsi"/>
                <w:b/>
                <w:i/>
                <w:color w:val="808080" w:themeColor="background1" w:themeShade="80"/>
                <w:sz w:val="20"/>
                <w:szCs w:val="20"/>
              </w:rPr>
              <w:t>costs</w:t>
            </w:r>
            <w:proofErr w:type="spellEnd"/>
          </w:p>
        </w:tc>
        <w:tc>
          <w:tcPr>
            <w:tcW w:w="2291" w:type="dxa"/>
            <w:shd w:val="clear" w:color="auto" w:fill="auto"/>
          </w:tcPr>
          <w:p w14:paraId="64F4681C" w14:textId="77777777" w:rsidR="00EA37BF" w:rsidRPr="004C0798" w:rsidRDefault="00EA37BF" w:rsidP="00861438">
            <w:pPr>
              <w:spacing w:after="120" w:line="240" w:lineRule="auto"/>
              <w:jc w:val="center"/>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Type</w:t>
            </w:r>
            <w:proofErr w:type="spellEnd"/>
            <w:r w:rsidRPr="004C0798">
              <w:rPr>
                <w:rFonts w:asciiTheme="majorHAnsi" w:hAnsiTheme="majorHAnsi" w:cstheme="majorHAnsi"/>
                <w:b/>
                <w:color w:val="808080" w:themeColor="background1" w:themeShade="80"/>
                <w:sz w:val="20"/>
                <w:szCs w:val="20"/>
              </w:rPr>
              <w:t xml:space="preserve">(s) of </w:t>
            </w:r>
            <w:proofErr w:type="spellStart"/>
            <w:r w:rsidRPr="004C0798">
              <w:rPr>
                <w:rFonts w:asciiTheme="majorHAnsi" w:hAnsiTheme="majorHAnsi" w:cstheme="majorHAnsi"/>
                <w:b/>
                <w:color w:val="808080" w:themeColor="background1" w:themeShade="80"/>
                <w:sz w:val="20"/>
                <w:szCs w:val="20"/>
              </w:rPr>
              <w:t>operation</w:t>
            </w:r>
            <w:proofErr w:type="spellEnd"/>
          </w:p>
        </w:tc>
        <w:tc>
          <w:tcPr>
            <w:tcW w:w="2344" w:type="dxa"/>
          </w:tcPr>
          <w:p w14:paraId="0F4ADC08" w14:textId="77777777" w:rsidR="00EA37BF" w:rsidRPr="004C0798" w:rsidRDefault="00EA37BF" w:rsidP="00861438">
            <w:pPr>
              <w:spacing w:after="120" w:line="240" w:lineRule="auto"/>
              <w:jc w:val="center"/>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Conditions</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to</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be</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fulfilled</w:t>
            </w:r>
            <w:proofErr w:type="spellEnd"/>
            <w:r w:rsidRPr="004C0798">
              <w:rPr>
                <w:rFonts w:asciiTheme="majorHAnsi" w:hAnsiTheme="majorHAnsi" w:cstheme="majorHAnsi"/>
                <w:b/>
                <w:color w:val="808080" w:themeColor="background1" w:themeShade="80"/>
                <w:sz w:val="20"/>
                <w:szCs w:val="20"/>
              </w:rPr>
              <w:t>/</w:t>
            </w:r>
            <w:proofErr w:type="spellStart"/>
            <w:r w:rsidRPr="004C0798">
              <w:rPr>
                <w:rFonts w:asciiTheme="majorHAnsi" w:hAnsiTheme="majorHAnsi" w:cstheme="majorHAnsi"/>
                <w:b/>
                <w:color w:val="808080" w:themeColor="background1" w:themeShade="80"/>
                <w:sz w:val="20"/>
                <w:szCs w:val="20"/>
              </w:rPr>
              <w:t>results</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to</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be</w:t>
            </w:r>
            <w:proofErr w:type="spellEnd"/>
            <w:r w:rsidRPr="004C0798">
              <w:rPr>
                <w:rFonts w:asciiTheme="majorHAnsi" w:hAnsiTheme="majorHAnsi" w:cstheme="majorHAnsi"/>
                <w:b/>
                <w:color w:val="808080" w:themeColor="background1" w:themeShade="80"/>
                <w:sz w:val="20"/>
                <w:szCs w:val="20"/>
              </w:rPr>
              <w:t xml:space="preserve"> </w:t>
            </w:r>
            <w:proofErr w:type="spellStart"/>
            <w:r w:rsidRPr="004C0798">
              <w:rPr>
                <w:rFonts w:asciiTheme="majorHAnsi" w:hAnsiTheme="majorHAnsi" w:cstheme="majorHAnsi"/>
                <w:b/>
                <w:color w:val="808080" w:themeColor="background1" w:themeShade="80"/>
                <w:sz w:val="20"/>
                <w:szCs w:val="20"/>
              </w:rPr>
              <w:t>achieved</w:t>
            </w:r>
            <w:proofErr w:type="spellEnd"/>
          </w:p>
        </w:tc>
        <w:tc>
          <w:tcPr>
            <w:tcW w:w="2294" w:type="dxa"/>
            <w:gridSpan w:val="2"/>
            <w:shd w:val="clear" w:color="auto" w:fill="auto"/>
          </w:tcPr>
          <w:p w14:paraId="45E7DAEC" w14:textId="77777777" w:rsidR="00EA37BF" w:rsidRPr="004C0798" w:rsidRDefault="00EA37BF" w:rsidP="00861438">
            <w:pPr>
              <w:spacing w:after="120" w:line="240" w:lineRule="auto"/>
              <w:jc w:val="center"/>
              <w:rPr>
                <w:rFonts w:asciiTheme="majorHAnsi" w:hAnsiTheme="majorHAnsi" w:cstheme="majorHAnsi"/>
                <w:b/>
                <w:color w:val="808080" w:themeColor="background1" w:themeShade="80"/>
                <w:sz w:val="20"/>
                <w:szCs w:val="20"/>
              </w:rPr>
            </w:pPr>
            <w:proofErr w:type="spellStart"/>
            <w:r w:rsidRPr="004C0798">
              <w:rPr>
                <w:rFonts w:asciiTheme="majorHAnsi" w:hAnsiTheme="majorHAnsi" w:cstheme="majorHAnsi"/>
                <w:b/>
                <w:color w:val="808080" w:themeColor="background1" w:themeShade="80"/>
                <w:sz w:val="20"/>
                <w:szCs w:val="20"/>
              </w:rPr>
              <w:t>Corresponding</w:t>
            </w:r>
            <w:proofErr w:type="spellEnd"/>
            <w:r w:rsidRPr="004C0798">
              <w:rPr>
                <w:rFonts w:asciiTheme="majorHAnsi" w:hAnsiTheme="majorHAnsi" w:cstheme="majorHAnsi"/>
                <w:b/>
                <w:color w:val="808080" w:themeColor="background1" w:themeShade="80"/>
                <w:sz w:val="20"/>
                <w:szCs w:val="20"/>
              </w:rPr>
              <w:t xml:space="preserve"> indicator </w:t>
            </w:r>
            <w:proofErr w:type="spellStart"/>
            <w:r w:rsidRPr="004C0798">
              <w:rPr>
                <w:rFonts w:asciiTheme="majorHAnsi" w:hAnsiTheme="majorHAnsi" w:cstheme="majorHAnsi"/>
                <w:b/>
                <w:color w:val="808080" w:themeColor="background1" w:themeShade="80"/>
                <w:sz w:val="20"/>
                <w:szCs w:val="20"/>
              </w:rPr>
              <w:t>name</w:t>
            </w:r>
            <w:proofErr w:type="spellEnd"/>
            <w:r w:rsidRPr="004C0798">
              <w:rPr>
                <w:rFonts w:asciiTheme="majorHAnsi" w:hAnsiTheme="majorHAnsi" w:cstheme="majorHAnsi"/>
                <w:b/>
                <w:color w:val="808080" w:themeColor="background1" w:themeShade="80"/>
                <w:sz w:val="20"/>
                <w:szCs w:val="20"/>
              </w:rPr>
              <w:t>(s)</w:t>
            </w:r>
          </w:p>
        </w:tc>
        <w:tc>
          <w:tcPr>
            <w:tcW w:w="1695" w:type="dxa"/>
            <w:shd w:val="clear" w:color="auto" w:fill="auto"/>
          </w:tcPr>
          <w:p w14:paraId="6AC67C87" w14:textId="77777777" w:rsidR="00EA37BF" w:rsidRPr="004C0798" w:rsidRDefault="00EA37BF" w:rsidP="00861438">
            <w:pPr>
              <w:spacing w:after="120" w:line="240" w:lineRule="auto"/>
              <w:jc w:val="center"/>
              <w:rPr>
                <w:rFonts w:asciiTheme="majorHAnsi" w:hAnsiTheme="majorHAnsi" w:cstheme="majorHAnsi"/>
                <w:b/>
                <w:color w:val="808080" w:themeColor="background1" w:themeShade="80"/>
                <w:sz w:val="20"/>
                <w:szCs w:val="20"/>
              </w:rPr>
            </w:pPr>
            <w:r w:rsidRPr="004C0798">
              <w:rPr>
                <w:rFonts w:asciiTheme="majorHAnsi" w:hAnsiTheme="majorHAnsi" w:cstheme="majorHAnsi"/>
                <w:b/>
                <w:color w:val="808080" w:themeColor="background1" w:themeShade="80"/>
                <w:sz w:val="20"/>
                <w:szCs w:val="20"/>
              </w:rPr>
              <w:t xml:space="preserve">Unit of </w:t>
            </w:r>
            <w:proofErr w:type="spellStart"/>
            <w:r w:rsidRPr="004C0798">
              <w:rPr>
                <w:rFonts w:asciiTheme="majorHAnsi" w:hAnsiTheme="majorHAnsi" w:cstheme="majorHAnsi"/>
                <w:b/>
                <w:color w:val="808080" w:themeColor="background1" w:themeShade="80"/>
                <w:sz w:val="20"/>
                <w:szCs w:val="20"/>
              </w:rPr>
              <w:t>measurement</w:t>
            </w:r>
            <w:proofErr w:type="spellEnd"/>
            <w:r w:rsidRPr="004C0798">
              <w:rPr>
                <w:rFonts w:asciiTheme="majorHAnsi" w:hAnsiTheme="majorHAnsi" w:cstheme="majorHAnsi"/>
                <w:b/>
                <w:color w:val="808080" w:themeColor="background1" w:themeShade="80"/>
                <w:sz w:val="20"/>
                <w:szCs w:val="20"/>
              </w:rPr>
              <w:t xml:space="preserve"> for the indicator</w:t>
            </w:r>
          </w:p>
        </w:tc>
        <w:tc>
          <w:tcPr>
            <w:tcW w:w="1723" w:type="dxa"/>
          </w:tcPr>
          <w:p w14:paraId="5BA43D5A" w14:textId="77777777" w:rsidR="00EA37BF" w:rsidRPr="004C0798" w:rsidRDefault="00EA37BF" w:rsidP="00861438">
            <w:pPr>
              <w:spacing w:after="120" w:line="240" w:lineRule="auto"/>
              <w:jc w:val="center"/>
              <w:rPr>
                <w:rFonts w:asciiTheme="majorHAnsi" w:hAnsiTheme="majorHAnsi" w:cstheme="majorHAnsi"/>
                <w:b/>
                <w:i/>
                <w:color w:val="808080" w:themeColor="background1" w:themeShade="80"/>
                <w:sz w:val="20"/>
                <w:szCs w:val="20"/>
                <w:u w:val="single"/>
              </w:rPr>
            </w:pPr>
            <w:r w:rsidRPr="004C0798">
              <w:rPr>
                <w:rFonts w:asciiTheme="majorHAnsi" w:hAnsiTheme="majorHAnsi" w:cstheme="majorHAnsi"/>
                <w:b/>
                <w:i/>
                <w:color w:val="808080" w:themeColor="background1" w:themeShade="80"/>
                <w:sz w:val="20"/>
                <w:szCs w:val="20"/>
                <w:u w:val="single"/>
              </w:rPr>
              <w:t>[</w:t>
            </w:r>
            <w:proofErr w:type="spellStart"/>
            <w:r w:rsidRPr="004C0798">
              <w:rPr>
                <w:rFonts w:asciiTheme="majorHAnsi" w:hAnsiTheme="majorHAnsi" w:cstheme="majorHAnsi"/>
                <w:b/>
                <w:i/>
                <w:color w:val="808080" w:themeColor="background1" w:themeShade="80"/>
                <w:sz w:val="20"/>
                <w:szCs w:val="20"/>
                <w:u w:val="single"/>
              </w:rPr>
              <w:t>Envisaged</w:t>
            </w:r>
            <w:proofErr w:type="spellEnd"/>
            <w:r w:rsidRPr="004C0798">
              <w:rPr>
                <w:rFonts w:asciiTheme="majorHAnsi" w:hAnsiTheme="majorHAnsi" w:cstheme="majorHAnsi"/>
                <w:b/>
                <w:i/>
                <w:color w:val="808080" w:themeColor="background1" w:themeShade="80"/>
                <w:sz w:val="20"/>
                <w:szCs w:val="20"/>
                <w:u w:val="single"/>
              </w:rPr>
              <w:t xml:space="preserve"> </w:t>
            </w:r>
            <w:proofErr w:type="spellStart"/>
            <w:r w:rsidRPr="004C0798">
              <w:rPr>
                <w:rFonts w:asciiTheme="majorHAnsi" w:hAnsiTheme="majorHAnsi" w:cstheme="majorHAnsi"/>
                <w:b/>
                <w:i/>
                <w:color w:val="808080" w:themeColor="background1" w:themeShade="80"/>
                <w:sz w:val="20"/>
                <w:szCs w:val="20"/>
                <w:u w:val="single"/>
              </w:rPr>
              <w:t>reimbursement</w:t>
            </w:r>
            <w:proofErr w:type="spellEnd"/>
            <w:r w:rsidRPr="004C0798">
              <w:rPr>
                <w:rFonts w:asciiTheme="majorHAnsi" w:hAnsiTheme="majorHAnsi" w:cstheme="majorHAnsi"/>
                <w:b/>
                <w:i/>
                <w:color w:val="808080" w:themeColor="background1" w:themeShade="80"/>
                <w:sz w:val="20"/>
                <w:szCs w:val="20"/>
                <w:u w:val="single"/>
              </w:rPr>
              <w:t xml:space="preserve"> </w:t>
            </w:r>
            <w:proofErr w:type="spellStart"/>
            <w:r w:rsidRPr="004C0798">
              <w:rPr>
                <w:rFonts w:asciiTheme="majorHAnsi" w:hAnsiTheme="majorHAnsi" w:cstheme="majorHAnsi"/>
                <w:b/>
                <w:i/>
                <w:color w:val="808080" w:themeColor="background1" w:themeShade="80"/>
                <w:sz w:val="20"/>
                <w:szCs w:val="20"/>
                <w:u w:val="single"/>
              </w:rPr>
              <w:t>to</w:t>
            </w:r>
            <w:proofErr w:type="spellEnd"/>
            <w:r w:rsidRPr="004C0798">
              <w:rPr>
                <w:rFonts w:asciiTheme="majorHAnsi" w:hAnsiTheme="majorHAnsi" w:cstheme="majorHAnsi"/>
                <w:b/>
                <w:i/>
                <w:color w:val="808080" w:themeColor="background1" w:themeShade="80"/>
                <w:sz w:val="20"/>
                <w:szCs w:val="20"/>
                <w:u w:val="single"/>
              </w:rPr>
              <w:t xml:space="preserve"> the </w:t>
            </w:r>
            <w:proofErr w:type="spellStart"/>
            <w:r w:rsidRPr="004C0798">
              <w:rPr>
                <w:rFonts w:asciiTheme="majorHAnsi" w:hAnsiTheme="majorHAnsi" w:cstheme="majorHAnsi"/>
                <w:b/>
                <w:i/>
                <w:color w:val="808080" w:themeColor="background1" w:themeShade="80"/>
                <w:sz w:val="20"/>
                <w:szCs w:val="20"/>
                <w:u w:val="single"/>
              </w:rPr>
              <w:t>beneficiaries</w:t>
            </w:r>
            <w:proofErr w:type="spellEnd"/>
            <w:r w:rsidRPr="004C0798">
              <w:rPr>
                <w:rFonts w:asciiTheme="majorHAnsi" w:hAnsiTheme="majorHAnsi" w:cstheme="majorHAnsi"/>
                <w:b/>
                <w:i/>
                <w:color w:val="808080" w:themeColor="background1" w:themeShade="80"/>
                <w:sz w:val="20"/>
                <w:szCs w:val="20"/>
                <w:u w:val="single"/>
              </w:rPr>
              <w:t>]</w:t>
            </w:r>
            <w:r w:rsidRPr="004C0798">
              <w:rPr>
                <w:rFonts w:asciiTheme="majorHAnsi" w:hAnsiTheme="majorHAnsi" w:cstheme="majorHAnsi"/>
                <w:b/>
                <w:i/>
                <w:color w:val="808080" w:themeColor="background1" w:themeShade="80"/>
                <w:sz w:val="20"/>
                <w:szCs w:val="20"/>
                <w:u w:val="single"/>
                <w:vertAlign w:val="superscript"/>
              </w:rPr>
              <w:footnoteReference w:id="15"/>
            </w:r>
          </w:p>
        </w:tc>
      </w:tr>
      <w:tr w:rsidR="00EA37BF" w:rsidRPr="004C0798" w14:paraId="2112F653" w14:textId="77777777" w:rsidTr="00861438">
        <w:trPr>
          <w:jc w:val="center"/>
        </w:trPr>
        <w:tc>
          <w:tcPr>
            <w:tcW w:w="1026" w:type="dxa"/>
          </w:tcPr>
          <w:p w14:paraId="191F46A5"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1243" w:type="dxa"/>
          </w:tcPr>
          <w:p w14:paraId="5FE5E6F4"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1378" w:type="dxa"/>
          </w:tcPr>
          <w:p w14:paraId="11DA15A1"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2291" w:type="dxa"/>
            <w:shd w:val="clear" w:color="auto" w:fill="auto"/>
          </w:tcPr>
          <w:p w14:paraId="767C860B"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highlight w:val="yellow"/>
              </w:rPr>
            </w:pPr>
          </w:p>
        </w:tc>
        <w:tc>
          <w:tcPr>
            <w:tcW w:w="2344" w:type="dxa"/>
          </w:tcPr>
          <w:p w14:paraId="222F5BEB"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808" w:type="dxa"/>
            <w:shd w:val="clear" w:color="auto" w:fill="auto"/>
          </w:tcPr>
          <w:p w14:paraId="0DE60D08"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Code </w:t>
            </w:r>
          </w:p>
        </w:tc>
        <w:tc>
          <w:tcPr>
            <w:tcW w:w="1486" w:type="dxa"/>
          </w:tcPr>
          <w:p w14:paraId="4D8EAA65"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Description</w:t>
            </w:r>
            <w:proofErr w:type="spellEnd"/>
          </w:p>
        </w:tc>
        <w:tc>
          <w:tcPr>
            <w:tcW w:w="1695" w:type="dxa"/>
            <w:shd w:val="clear" w:color="auto" w:fill="auto"/>
          </w:tcPr>
          <w:p w14:paraId="752BD142"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1723" w:type="dxa"/>
          </w:tcPr>
          <w:p w14:paraId="2D07D8C0"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r>
      <w:tr w:rsidR="00EA37BF" w:rsidRPr="004C0798" w14:paraId="4D859AF7" w14:textId="77777777" w:rsidTr="00861438">
        <w:trPr>
          <w:jc w:val="center"/>
        </w:trPr>
        <w:tc>
          <w:tcPr>
            <w:tcW w:w="1026" w:type="dxa"/>
          </w:tcPr>
          <w:p w14:paraId="6F8086F2" w14:textId="77777777" w:rsidR="00EA37BF" w:rsidRPr="004C0798" w:rsidRDefault="00EA37BF" w:rsidP="00861438">
            <w:pPr>
              <w:spacing w:after="120" w:line="240" w:lineRule="auto"/>
              <w:jc w:val="center"/>
              <w:rPr>
                <w:rFonts w:asciiTheme="majorHAnsi" w:hAnsiTheme="majorHAnsi" w:cstheme="majorHAnsi"/>
                <w:b/>
                <w:i/>
                <w:color w:val="808080" w:themeColor="background1" w:themeShade="80"/>
                <w:sz w:val="20"/>
                <w:szCs w:val="20"/>
              </w:rPr>
            </w:pPr>
          </w:p>
        </w:tc>
        <w:tc>
          <w:tcPr>
            <w:tcW w:w="1243" w:type="dxa"/>
          </w:tcPr>
          <w:p w14:paraId="30C5E5FB" w14:textId="77777777" w:rsidR="00EA37BF" w:rsidRPr="004C0798" w:rsidRDefault="00EA37BF" w:rsidP="00861438">
            <w:pPr>
              <w:spacing w:after="120" w:line="240" w:lineRule="auto"/>
              <w:jc w:val="center"/>
              <w:rPr>
                <w:rFonts w:asciiTheme="majorHAnsi" w:hAnsiTheme="majorHAnsi" w:cstheme="majorHAnsi"/>
                <w:b/>
                <w:i/>
                <w:color w:val="808080" w:themeColor="background1" w:themeShade="80"/>
                <w:sz w:val="20"/>
                <w:szCs w:val="20"/>
              </w:rPr>
            </w:pPr>
          </w:p>
        </w:tc>
        <w:tc>
          <w:tcPr>
            <w:tcW w:w="1378" w:type="dxa"/>
          </w:tcPr>
          <w:p w14:paraId="33148F99" w14:textId="77777777" w:rsidR="00EA37BF" w:rsidRPr="004C0798" w:rsidRDefault="00EA37BF" w:rsidP="00861438">
            <w:pPr>
              <w:spacing w:after="120" w:line="240" w:lineRule="auto"/>
              <w:jc w:val="center"/>
              <w:rPr>
                <w:rFonts w:asciiTheme="majorHAnsi" w:hAnsiTheme="majorHAnsi" w:cstheme="majorHAnsi"/>
                <w:b/>
                <w:i/>
                <w:color w:val="808080" w:themeColor="background1" w:themeShade="80"/>
                <w:sz w:val="20"/>
                <w:szCs w:val="20"/>
              </w:rPr>
            </w:pPr>
          </w:p>
        </w:tc>
        <w:tc>
          <w:tcPr>
            <w:tcW w:w="2291" w:type="dxa"/>
            <w:shd w:val="clear" w:color="auto" w:fill="auto"/>
          </w:tcPr>
          <w:p w14:paraId="36D5AA03" w14:textId="77777777" w:rsidR="00EA37BF" w:rsidRPr="004C0798" w:rsidRDefault="00EA37BF" w:rsidP="00861438">
            <w:pPr>
              <w:spacing w:after="120" w:line="240" w:lineRule="auto"/>
              <w:jc w:val="center"/>
              <w:rPr>
                <w:rFonts w:asciiTheme="majorHAnsi" w:hAnsiTheme="majorHAnsi" w:cstheme="majorHAnsi"/>
                <w:i/>
                <w:color w:val="808080" w:themeColor="background1" w:themeShade="80"/>
                <w:sz w:val="20"/>
                <w:szCs w:val="20"/>
                <w:highlight w:val="yellow"/>
              </w:rPr>
            </w:pPr>
          </w:p>
        </w:tc>
        <w:tc>
          <w:tcPr>
            <w:tcW w:w="2344" w:type="dxa"/>
          </w:tcPr>
          <w:p w14:paraId="3DE80F3B" w14:textId="77777777" w:rsidR="00EA37BF" w:rsidRPr="004C0798" w:rsidRDefault="00EA37BF" w:rsidP="00861438">
            <w:pPr>
              <w:spacing w:after="120" w:line="240" w:lineRule="auto"/>
              <w:jc w:val="center"/>
              <w:rPr>
                <w:rFonts w:asciiTheme="majorHAnsi" w:hAnsiTheme="majorHAnsi" w:cstheme="majorHAnsi"/>
                <w:i/>
                <w:color w:val="808080" w:themeColor="background1" w:themeShade="80"/>
                <w:sz w:val="20"/>
                <w:szCs w:val="20"/>
              </w:rPr>
            </w:pPr>
          </w:p>
        </w:tc>
        <w:tc>
          <w:tcPr>
            <w:tcW w:w="808" w:type="dxa"/>
            <w:shd w:val="clear" w:color="auto" w:fill="auto"/>
          </w:tcPr>
          <w:p w14:paraId="0A9D119E" w14:textId="77777777" w:rsidR="00EA37BF" w:rsidRPr="004C0798" w:rsidRDefault="00EA37BF" w:rsidP="00861438">
            <w:pPr>
              <w:spacing w:after="120" w:line="240" w:lineRule="auto"/>
              <w:jc w:val="center"/>
              <w:rPr>
                <w:rFonts w:asciiTheme="majorHAnsi" w:hAnsiTheme="majorHAnsi" w:cstheme="majorHAnsi"/>
                <w:i/>
                <w:color w:val="808080" w:themeColor="background1" w:themeShade="80"/>
                <w:sz w:val="20"/>
                <w:szCs w:val="20"/>
              </w:rPr>
            </w:pPr>
          </w:p>
        </w:tc>
        <w:tc>
          <w:tcPr>
            <w:tcW w:w="1486" w:type="dxa"/>
          </w:tcPr>
          <w:p w14:paraId="46B9A34E" w14:textId="77777777" w:rsidR="00EA37BF" w:rsidRPr="004C0798" w:rsidRDefault="00EA37BF" w:rsidP="00861438">
            <w:pPr>
              <w:spacing w:after="120" w:line="240" w:lineRule="auto"/>
              <w:jc w:val="center"/>
              <w:rPr>
                <w:rFonts w:asciiTheme="majorHAnsi" w:hAnsiTheme="majorHAnsi" w:cstheme="majorHAnsi"/>
                <w:i/>
                <w:color w:val="808080" w:themeColor="background1" w:themeShade="80"/>
                <w:sz w:val="20"/>
                <w:szCs w:val="20"/>
              </w:rPr>
            </w:pPr>
          </w:p>
        </w:tc>
        <w:tc>
          <w:tcPr>
            <w:tcW w:w="1695" w:type="dxa"/>
            <w:shd w:val="clear" w:color="auto" w:fill="auto"/>
          </w:tcPr>
          <w:p w14:paraId="5ABAB70F" w14:textId="77777777" w:rsidR="00EA37BF" w:rsidRPr="004C0798" w:rsidRDefault="00EA37BF" w:rsidP="00861438">
            <w:pPr>
              <w:spacing w:after="120" w:line="240" w:lineRule="auto"/>
              <w:jc w:val="center"/>
              <w:rPr>
                <w:rFonts w:asciiTheme="majorHAnsi" w:hAnsiTheme="majorHAnsi" w:cstheme="majorHAnsi"/>
                <w:i/>
                <w:color w:val="808080" w:themeColor="background1" w:themeShade="80"/>
                <w:sz w:val="20"/>
                <w:szCs w:val="20"/>
              </w:rPr>
            </w:pPr>
          </w:p>
        </w:tc>
        <w:tc>
          <w:tcPr>
            <w:tcW w:w="1723" w:type="dxa"/>
          </w:tcPr>
          <w:p w14:paraId="480D9E7A" w14:textId="77777777" w:rsidR="00EA37BF" w:rsidRPr="004C0798" w:rsidRDefault="00EA37BF" w:rsidP="00861438">
            <w:pPr>
              <w:spacing w:after="120" w:line="240" w:lineRule="auto"/>
              <w:jc w:val="center"/>
              <w:rPr>
                <w:rFonts w:asciiTheme="majorHAnsi" w:hAnsiTheme="majorHAnsi" w:cstheme="majorHAnsi"/>
                <w:i/>
                <w:color w:val="808080" w:themeColor="background1" w:themeShade="80"/>
                <w:sz w:val="20"/>
                <w:szCs w:val="20"/>
              </w:rPr>
            </w:pPr>
          </w:p>
        </w:tc>
      </w:tr>
      <w:tr w:rsidR="00EA37BF" w:rsidRPr="004C0798" w14:paraId="7F575331" w14:textId="77777777" w:rsidTr="00861438">
        <w:trPr>
          <w:jc w:val="center"/>
        </w:trPr>
        <w:tc>
          <w:tcPr>
            <w:tcW w:w="1026" w:type="dxa"/>
          </w:tcPr>
          <w:p w14:paraId="1996DE1C" w14:textId="77777777" w:rsidR="00EA37BF" w:rsidRPr="004C0798" w:rsidRDefault="00EA37BF" w:rsidP="00861438">
            <w:pPr>
              <w:spacing w:after="120" w:line="240" w:lineRule="auto"/>
              <w:jc w:val="center"/>
              <w:rPr>
                <w:rFonts w:asciiTheme="majorHAnsi" w:hAnsiTheme="majorHAnsi" w:cstheme="majorHAnsi"/>
                <w:b/>
                <w:i/>
                <w:color w:val="808080" w:themeColor="background1" w:themeShade="80"/>
                <w:sz w:val="20"/>
                <w:szCs w:val="20"/>
              </w:rPr>
            </w:pPr>
          </w:p>
        </w:tc>
        <w:tc>
          <w:tcPr>
            <w:tcW w:w="1243" w:type="dxa"/>
          </w:tcPr>
          <w:p w14:paraId="4BD38C9F" w14:textId="77777777" w:rsidR="00EA37BF" w:rsidRPr="004C0798" w:rsidRDefault="00EA37BF" w:rsidP="00861438">
            <w:pPr>
              <w:spacing w:after="120" w:line="240" w:lineRule="auto"/>
              <w:jc w:val="center"/>
              <w:rPr>
                <w:rFonts w:asciiTheme="majorHAnsi" w:hAnsiTheme="majorHAnsi" w:cstheme="majorHAnsi"/>
                <w:b/>
                <w:i/>
                <w:color w:val="808080" w:themeColor="background1" w:themeShade="80"/>
                <w:sz w:val="20"/>
                <w:szCs w:val="20"/>
              </w:rPr>
            </w:pPr>
          </w:p>
        </w:tc>
        <w:tc>
          <w:tcPr>
            <w:tcW w:w="1378" w:type="dxa"/>
          </w:tcPr>
          <w:p w14:paraId="0DC68F4C" w14:textId="77777777" w:rsidR="00EA37BF" w:rsidRPr="004C0798" w:rsidRDefault="00EA37BF" w:rsidP="00861438">
            <w:pPr>
              <w:spacing w:after="120" w:line="240" w:lineRule="auto"/>
              <w:jc w:val="center"/>
              <w:rPr>
                <w:rFonts w:asciiTheme="majorHAnsi" w:hAnsiTheme="majorHAnsi" w:cstheme="majorHAnsi"/>
                <w:b/>
                <w:i/>
                <w:color w:val="808080" w:themeColor="background1" w:themeShade="80"/>
                <w:sz w:val="20"/>
                <w:szCs w:val="20"/>
              </w:rPr>
            </w:pPr>
          </w:p>
        </w:tc>
        <w:tc>
          <w:tcPr>
            <w:tcW w:w="2291" w:type="dxa"/>
            <w:shd w:val="clear" w:color="auto" w:fill="auto"/>
          </w:tcPr>
          <w:p w14:paraId="157420CB" w14:textId="77777777" w:rsidR="00EA37BF" w:rsidRPr="004C0798" w:rsidRDefault="00EA37BF" w:rsidP="00861438">
            <w:pPr>
              <w:spacing w:after="120" w:line="240" w:lineRule="auto"/>
              <w:jc w:val="center"/>
              <w:rPr>
                <w:rFonts w:asciiTheme="majorHAnsi" w:hAnsiTheme="majorHAnsi" w:cstheme="majorHAnsi"/>
                <w:i/>
                <w:color w:val="808080" w:themeColor="background1" w:themeShade="80"/>
                <w:sz w:val="20"/>
                <w:szCs w:val="20"/>
                <w:highlight w:val="yellow"/>
              </w:rPr>
            </w:pPr>
          </w:p>
        </w:tc>
        <w:tc>
          <w:tcPr>
            <w:tcW w:w="2344" w:type="dxa"/>
          </w:tcPr>
          <w:p w14:paraId="231AB87B" w14:textId="77777777" w:rsidR="00EA37BF" w:rsidRPr="004C0798" w:rsidRDefault="00EA37BF" w:rsidP="00861438">
            <w:pPr>
              <w:spacing w:after="120" w:line="240" w:lineRule="auto"/>
              <w:jc w:val="center"/>
              <w:rPr>
                <w:rFonts w:asciiTheme="majorHAnsi" w:hAnsiTheme="majorHAnsi" w:cstheme="majorHAnsi"/>
                <w:i/>
                <w:color w:val="808080" w:themeColor="background1" w:themeShade="80"/>
                <w:sz w:val="20"/>
                <w:szCs w:val="20"/>
              </w:rPr>
            </w:pPr>
          </w:p>
        </w:tc>
        <w:tc>
          <w:tcPr>
            <w:tcW w:w="808" w:type="dxa"/>
            <w:shd w:val="clear" w:color="auto" w:fill="auto"/>
          </w:tcPr>
          <w:p w14:paraId="53240B04" w14:textId="77777777" w:rsidR="00EA37BF" w:rsidRPr="004C0798" w:rsidRDefault="00EA37BF" w:rsidP="00861438">
            <w:pPr>
              <w:spacing w:after="120" w:line="240" w:lineRule="auto"/>
              <w:jc w:val="center"/>
              <w:rPr>
                <w:rFonts w:asciiTheme="majorHAnsi" w:hAnsiTheme="majorHAnsi" w:cstheme="majorHAnsi"/>
                <w:i/>
                <w:color w:val="808080" w:themeColor="background1" w:themeShade="80"/>
                <w:sz w:val="20"/>
                <w:szCs w:val="20"/>
              </w:rPr>
            </w:pPr>
          </w:p>
        </w:tc>
        <w:tc>
          <w:tcPr>
            <w:tcW w:w="1486" w:type="dxa"/>
          </w:tcPr>
          <w:p w14:paraId="28C78B78" w14:textId="77777777" w:rsidR="00EA37BF" w:rsidRPr="004C0798" w:rsidRDefault="00EA37BF" w:rsidP="00861438">
            <w:pPr>
              <w:spacing w:after="120" w:line="240" w:lineRule="auto"/>
              <w:jc w:val="center"/>
              <w:rPr>
                <w:rFonts w:asciiTheme="majorHAnsi" w:hAnsiTheme="majorHAnsi" w:cstheme="majorHAnsi"/>
                <w:i/>
                <w:color w:val="808080" w:themeColor="background1" w:themeShade="80"/>
                <w:sz w:val="20"/>
                <w:szCs w:val="20"/>
              </w:rPr>
            </w:pPr>
          </w:p>
        </w:tc>
        <w:tc>
          <w:tcPr>
            <w:tcW w:w="1695" w:type="dxa"/>
            <w:shd w:val="clear" w:color="auto" w:fill="auto"/>
          </w:tcPr>
          <w:p w14:paraId="0A3E4D78" w14:textId="77777777" w:rsidR="00EA37BF" w:rsidRPr="004C0798" w:rsidRDefault="00EA37BF" w:rsidP="00861438">
            <w:pPr>
              <w:spacing w:after="120" w:line="240" w:lineRule="auto"/>
              <w:jc w:val="center"/>
              <w:rPr>
                <w:rFonts w:asciiTheme="majorHAnsi" w:hAnsiTheme="majorHAnsi" w:cstheme="majorHAnsi"/>
                <w:i/>
                <w:color w:val="808080" w:themeColor="background1" w:themeShade="80"/>
                <w:sz w:val="20"/>
                <w:szCs w:val="20"/>
              </w:rPr>
            </w:pPr>
          </w:p>
        </w:tc>
        <w:tc>
          <w:tcPr>
            <w:tcW w:w="1723" w:type="dxa"/>
          </w:tcPr>
          <w:p w14:paraId="132EA407" w14:textId="77777777" w:rsidR="00EA37BF" w:rsidRPr="004C0798" w:rsidRDefault="00EA37BF" w:rsidP="00861438">
            <w:pPr>
              <w:spacing w:after="120" w:line="240" w:lineRule="auto"/>
              <w:jc w:val="center"/>
              <w:rPr>
                <w:rFonts w:asciiTheme="majorHAnsi" w:hAnsiTheme="majorHAnsi" w:cstheme="majorHAnsi"/>
                <w:i/>
                <w:color w:val="808080" w:themeColor="background1" w:themeShade="80"/>
                <w:sz w:val="20"/>
                <w:szCs w:val="20"/>
              </w:rPr>
            </w:pPr>
          </w:p>
        </w:tc>
      </w:tr>
      <w:tr w:rsidR="00EA37BF" w:rsidRPr="004C0798" w14:paraId="37E2668D" w14:textId="77777777" w:rsidTr="00861438">
        <w:trPr>
          <w:jc w:val="center"/>
        </w:trPr>
        <w:tc>
          <w:tcPr>
            <w:tcW w:w="1026" w:type="dxa"/>
          </w:tcPr>
          <w:p w14:paraId="541F76E9"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1243" w:type="dxa"/>
          </w:tcPr>
          <w:p w14:paraId="5621A914"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1378" w:type="dxa"/>
          </w:tcPr>
          <w:p w14:paraId="64603556"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2291" w:type="dxa"/>
            <w:shd w:val="clear" w:color="auto" w:fill="auto"/>
          </w:tcPr>
          <w:p w14:paraId="59EB129C"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2344" w:type="dxa"/>
          </w:tcPr>
          <w:p w14:paraId="2A35D9DE"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808" w:type="dxa"/>
            <w:shd w:val="clear" w:color="auto" w:fill="auto"/>
          </w:tcPr>
          <w:p w14:paraId="6EF3E267"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1486" w:type="dxa"/>
          </w:tcPr>
          <w:p w14:paraId="1D417192"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1695" w:type="dxa"/>
            <w:shd w:val="clear" w:color="auto" w:fill="auto"/>
          </w:tcPr>
          <w:p w14:paraId="72AEB418"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1723" w:type="dxa"/>
          </w:tcPr>
          <w:p w14:paraId="333FF68E"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r>
      <w:tr w:rsidR="00EA37BF" w:rsidRPr="004C0798" w14:paraId="049E9782" w14:textId="77777777" w:rsidTr="00861438">
        <w:trPr>
          <w:jc w:val="center"/>
        </w:trPr>
        <w:tc>
          <w:tcPr>
            <w:tcW w:w="1026" w:type="dxa"/>
          </w:tcPr>
          <w:p w14:paraId="0384F536"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1243" w:type="dxa"/>
          </w:tcPr>
          <w:p w14:paraId="1EBFBEC2"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1378" w:type="dxa"/>
          </w:tcPr>
          <w:p w14:paraId="3D05DD69"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2291" w:type="dxa"/>
            <w:shd w:val="clear" w:color="auto" w:fill="auto"/>
          </w:tcPr>
          <w:p w14:paraId="250BE32E"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2344" w:type="dxa"/>
          </w:tcPr>
          <w:p w14:paraId="541733FA"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808" w:type="dxa"/>
            <w:shd w:val="clear" w:color="auto" w:fill="auto"/>
          </w:tcPr>
          <w:p w14:paraId="1931D69D"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1486" w:type="dxa"/>
          </w:tcPr>
          <w:p w14:paraId="280301E1"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1695" w:type="dxa"/>
            <w:shd w:val="clear" w:color="auto" w:fill="auto"/>
          </w:tcPr>
          <w:p w14:paraId="166BDB19"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1723" w:type="dxa"/>
          </w:tcPr>
          <w:p w14:paraId="42C11710"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r>
      <w:tr w:rsidR="00EA37BF" w:rsidRPr="004C0798" w14:paraId="143B83F3" w14:textId="77777777" w:rsidTr="00861438">
        <w:trPr>
          <w:jc w:val="center"/>
        </w:trPr>
        <w:tc>
          <w:tcPr>
            <w:tcW w:w="1026" w:type="dxa"/>
          </w:tcPr>
          <w:p w14:paraId="53270FC5"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The </w:t>
            </w:r>
            <w:proofErr w:type="spellStart"/>
            <w:r w:rsidRPr="004C0798">
              <w:rPr>
                <w:rFonts w:asciiTheme="majorHAnsi" w:hAnsiTheme="majorHAnsi" w:cstheme="majorHAnsi"/>
                <w:color w:val="808080" w:themeColor="background1" w:themeShade="80"/>
                <w:sz w:val="20"/>
                <w:szCs w:val="20"/>
              </w:rPr>
              <w:t>overall</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amount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covered</w:t>
            </w:r>
            <w:proofErr w:type="spellEnd"/>
          </w:p>
        </w:tc>
        <w:tc>
          <w:tcPr>
            <w:tcW w:w="1243" w:type="dxa"/>
          </w:tcPr>
          <w:p w14:paraId="1C94E597"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1378" w:type="dxa"/>
          </w:tcPr>
          <w:p w14:paraId="17389059"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2291" w:type="dxa"/>
            <w:shd w:val="clear" w:color="auto" w:fill="auto"/>
          </w:tcPr>
          <w:p w14:paraId="70066C8A"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2344" w:type="dxa"/>
          </w:tcPr>
          <w:p w14:paraId="417ECB8A"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808" w:type="dxa"/>
            <w:shd w:val="clear" w:color="auto" w:fill="auto"/>
          </w:tcPr>
          <w:p w14:paraId="38534C11"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1486" w:type="dxa"/>
          </w:tcPr>
          <w:p w14:paraId="6E9A0755"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1695" w:type="dxa"/>
            <w:shd w:val="clear" w:color="auto" w:fill="auto"/>
          </w:tcPr>
          <w:p w14:paraId="26183BF2"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1723" w:type="dxa"/>
          </w:tcPr>
          <w:p w14:paraId="0AC07454"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r>
    </w:tbl>
    <w:p w14:paraId="4A41B50D" w14:textId="77777777" w:rsidR="00EA37BF" w:rsidRPr="004C0798" w:rsidRDefault="00EA37BF" w:rsidP="00EA37BF">
      <w:pPr>
        <w:spacing w:after="120" w:line="240" w:lineRule="auto"/>
        <w:rPr>
          <w:rFonts w:asciiTheme="majorHAnsi" w:hAnsiTheme="majorHAnsi" w:cstheme="majorHAnsi"/>
          <w:b/>
          <w:color w:val="808080" w:themeColor="background1" w:themeShade="80"/>
          <w:sz w:val="20"/>
          <w:szCs w:val="20"/>
          <w:u w:val="single"/>
        </w:rPr>
        <w:sectPr w:rsidR="00EA37BF" w:rsidRPr="004C0798" w:rsidSect="004C0798">
          <w:headerReference w:type="even" r:id="rId26"/>
          <w:headerReference w:type="default" r:id="rId27"/>
          <w:footerReference w:type="even" r:id="rId28"/>
          <w:footerReference w:type="default" r:id="rId29"/>
          <w:headerReference w:type="first" r:id="rId30"/>
          <w:footerReference w:type="first" r:id="rId31"/>
          <w:pgSz w:w="11906" w:h="16838" w:code="9"/>
          <w:pgMar w:top="567" w:right="1134" w:bottom="567" w:left="1134" w:header="567" w:footer="567" w:gutter="0"/>
          <w:cols w:space="708"/>
        </w:sectPr>
      </w:pPr>
    </w:p>
    <w:p w14:paraId="55CBA144" w14:textId="77777777" w:rsidR="00EA37BF" w:rsidRPr="004C0798" w:rsidRDefault="00EA37BF" w:rsidP="00EA37BF">
      <w:pPr>
        <w:spacing w:after="120" w:line="240" w:lineRule="auto"/>
        <w:rPr>
          <w:rFonts w:asciiTheme="majorHAnsi" w:hAnsiTheme="majorHAnsi" w:cstheme="majorHAnsi"/>
          <w:b/>
          <w:color w:val="808080" w:themeColor="background1" w:themeShade="80"/>
          <w:sz w:val="20"/>
          <w:szCs w:val="20"/>
          <w:u w:val="single"/>
        </w:rPr>
      </w:pPr>
      <w:r w:rsidRPr="004C0798">
        <w:rPr>
          <w:rFonts w:asciiTheme="majorHAnsi" w:hAnsiTheme="majorHAnsi" w:cstheme="majorHAnsi"/>
          <w:b/>
          <w:color w:val="808080" w:themeColor="background1" w:themeShade="80"/>
          <w:sz w:val="20"/>
          <w:szCs w:val="20"/>
          <w:u w:val="single"/>
        </w:rPr>
        <w:lastRenderedPageBreak/>
        <w:t xml:space="preserve">B. </w:t>
      </w:r>
      <w:proofErr w:type="spellStart"/>
      <w:r w:rsidRPr="004C0798">
        <w:rPr>
          <w:rFonts w:asciiTheme="majorHAnsi" w:hAnsiTheme="majorHAnsi" w:cstheme="majorHAnsi"/>
          <w:b/>
          <w:color w:val="808080" w:themeColor="background1" w:themeShade="80"/>
          <w:sz w:val="20"/>
          <w:szCs w:val="20"/>
          <w:u w:val="single"/>
        </w:rPr>
        <w:t>Details</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by</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type</w:t>
      </w:r>
      <w:proofErr w:type="spellEnd"/>
      <w:r w:rsidRPr="004C0798">
        <w:rPr>
          <w:rFonts w:asciiTheme="majorHAnsi" w:hAnsiTheme="majorHAnsi" w:cstheme="majorHAnsi"/>
          <w:b/>
          <w:color w:val="808080" w:themeColor="background1" w:themeShade="80"/>
          <w:sz w:val="20"/>
          <w:szCs w:val="20"/>
          <w:u w:val="single"/>
        </w:rPr>
        <w:t xml:space="preserve"> of </w:t>
      </w:r>
      <w:proofErr w:type="spellStart"/>
      <w:r w:rsidRPr="004C0798">
        <w:rPr>
          <w:rFonts w:asciiTheme="majorHAnsi" w:hAnsiTheme="majorHAnsi" w:cstheme="majorHAnsi"/>
          <w:b/>
          <w:color w:val="808080" w:themeColor="background1" w:themeShade="80"/>
          <w:sz w:val="20"/>
          <w:szCs w:val="20"/>
          <w:u w:val="single"/>
        </w:rPr>
        <w:t>operation</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to</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be</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completed</w:t>
      </w:r>
      <w:proofErr w:type="spellEnd"/>
      <w:r w:rsidRPr="004C0798">
        <w:rPr>
          <w:rFonts w:asciiTheme="majorHAnsi" w:hAnsiTheme="majorHAnsi" w:cstheme="majorHAnsi"/>
          <w:b/>
          <w:color w:val="808080" w:themeColor="background1" w:themeShade="80"/>
          <w:sz w:val="20"/>
          <w:szCs w:val="20"/>
          <w:u w:val="single"/>
        </w:rPr>
        <w:t xml:space="preserve"> for </w:t>
      </w:r>
      <w:proofErr w:type="spellStart"/>
      <w:r w:rsidRPr="004C0798">
        <w:rPr>
          <w:rFonts w:asciiTheme="majorHAnsi" w:hAnsiTheme="majorHAnsi" w:cstheme="majorHAnsi"/>
          <w:b/>
          <w:color w:val="808080" w:themeColor="background1" w:themeShade="80"/>
          <w:sz w:val="20"/>
          <w:szCs w:val="20"/>
          <w:u w:val="single"/>
        </w:rPr>
        <w:t>every</w:t>
      </w:r>
      <w:proofErr w:type="spellEnd"/>
      <w:r w:rsidRPr="004C0798">
        <w:rPr>
          <w:rFonts w:asciiTheme="majorHAnsi" w:hAnsiTheme="majorHAnsi" w:cstheme="majorHAnsi"/>
          <w:b/>
          <w:color w:val="808080" w:themeColor="background1" w:themeShade="80"/>
          <w:sz w:val="20"/>
          <w:szCs w:val="20"/>
          <w:u w:val="single"/>
        </w:rPr>
        <w:t xml:space="preserve"> </w:t>
      </w:r>
      <w:proofErr w:type="spellStart"/>
      <w:r w:rsidRPr="004C0798">
        <w:rPr>
          <w:rFonts w:asciiTheme="majorHAnsi" w:hAnsiTheme="majorHAnsi" w:cstheme="majorHAnsi"/>
          <w:b/>
          <w:color w:val="808080" w:themeColor="background1" w:themeShade="80"/>
          <w:sz w:val="20"/>
          <w:szCs w:val="20"/>
          <w:u w:val="single"/>
        </w:rPr>
        <w:t>type</w:t>
      </w:r>
      <w:proofErr w:type="spellEnd"/>
      <w:r w:rsidRPr="004C0798">
        <w:rPr>
          <w:rFonts w:asciiTheme="majorHAnsi" w:hAnsiTheme="majorHAnsi" w:cstheme="majorHAnsi"/>
          <w:b/>
          <w:color w:val="808080" w:themeColor="background1" w:themeShade="80"/>
          <w:sz w:val="20"/>
          <w:szCs w:val="20"/>
          <w:u w:val="single"/>
        </w:rPr>
        <w:t xml:space="preserve"> of </w:t>
      </w:r>
      <w:proofErr w:type="spellStart"/>
      <w:r w:rsidRPr="004C0798">
        <w:rPr>
          <w:rFonts w:asciiTheme="majorHAnsi" w:hAnsiTheme="majorHAnsi" w:cstheme="majorHAnsi"/>
          <w:b/>
          <w:color w:val="808080" w:themeColor="background1" w:themeShade="80"/>
          <w:sz w:val="20"/>
          <w:szCs w:val="20"/>
          <w:u w:val="single"/>
        </w:rPr>
        <w:t>operation</w:t>
      </w:r>
      <w:proofErr w:type="spellEnd"/>
      <w:r w:rsidRPr="004C0798">
        <w:rPr>
          <w:rFonts w:asciiTheme="majorHAnsi" w:hAnsiTheme="majorHAnsi" w:cstheme="majorHAnsi"/>
          <w:b/>
          <w:color w:val="808080" w:themeColor="background1" w:themeShade="80"/>
          <w:sz w:val="20"/>
          <w:szCs w:val="20"/>
          <w:u w:val="single"/>
        </w:rPr>
        <w:t>)</w:t>
      </w:r>
    </w:p>
    <w:p w14:paraId="7FF69CF8" w14:textId="77777777" w:rsidR="00EA37BF" w:rsidRPr="004C0798" w:rsidRDefault="00EA37BF" w:rsidP="00EA37BF">
      <w:pPr>
        <w:spacing w:after="120" w:line="240" w:lineRule="auto"/>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Types</w:t>
      </w:r>
      <w:proofErr w:type="spellEnd"/>
      <w:r w:rsidRPr="004C0798">
        <w:rPr>
          <w:rFonts w:asciiTheme="majorHAnsi" w:hAnsiTheme="majorHAnsi" w:cstheme="majorHAnsi"/>
          <w:color w:val="808080" w:themeColor="background1" w:themeShade="80"/>
          <w:sz w:val="20"/>
          <w:szCs w:val="20"/>
        </w:rPr>
        <w:t xml:space="preserve"> of </w:t>
      </w:r>
      <w:proofErr w:type="spellStart"/>
      <w:r w:rsidRPr="004C0798">
        <w:rPr>
          <w:rFonts w:asciiTheme="majorHAnsi" w:hAnsiTheme="majorHAnsi" w:cstheme="majorHAnsi"/>
          <w:color w:val="808080" w:themeColor="background1" w:themeShade="80"/>
          <w:sz w:val="20"/>
          <w:szCs w:val="20"/>
        </w:rPr>
        <w:t>operation</w:t>
      </w:r>
      <w:proofErr w:type="spellEnd"/>
      <w:r w:rsidRPr="004C0798">
        <w:rPr>
          <w:rFonts w:asciiTheme="majorHAnsi" w:hAnsiTheme="majorHAnsi" w:cstheme="majorHAnsi"/>
          <w:color w:val="808080" w:themeColor="background1" w:themeShade="80"/>
          <w:sz w:val="20"/>
          <w:szCs w:val="20"/>
        </w:rPr>
        <w:t>:</w:t>
      </w:r>
    </w:p>
    <w:tbl>
      <w:tblPr>
        <w:tblW w:w="9087" w:type="dxa"/>
        <w:tblInd w:w="93" w:type="dxa"/>
        <w:tblLayout w:type="fixed"/>
        <w:tblLook w:val="0000" w:firstRow="0" w:lastRow="0" w:firstColumn="0" w:lastColumn="0" w:noHBand="0" w:noVBand="0"/>
      </w:tblPr>
      <w:tblGrid>
        <w:gridCol w:w="5535"/>
        <w:gridCol w:w="1429"/>
        <w:gridCol w:w="1026"/>
        <w:gridCol w:w="1097"/>
      </w:tblGrid>
      <w:tr w:rsidR="00EA37BF" w:rsidRPr="004C0798" w14:paraId="5AB5134E" w14:textId="77777777" w:rsidTr="00861438">
        <w:trPr>
          <w:trHeight w:val="300"/>
        </w:trPr>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0CC2F"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1.1. </w:t>
            </w:r>
            <w:proofErr w:type="spellStart"/>
            <w:r w:rsidRPr="004C0798">
              <w:rPr>
                <w:rFonts w:asciiTheme="majorHAnsi" w:hAnsiTheme="majorHAnsi" w:cstheme="majorHAnsi"/>
                <w:color w:val="808080" w:themeColor="background1" w:themeShade="80"/>
                <w:sz w:val="20"/>
                <w:szCs w:val="20"/>
              </w:rPr>
              <w:t>Description</w:t>
            </w:r>
            <w:proofErr w:type="spellEnd"/>
            <w:r w:rsidRPr="004C0798">
              <w:rPr>
                <w:rFonts w:asciiTheme="majorHAnsi" w:hAnsiTheme="majorHAnsi" w:cstheme="majorHAnsi"/>
                <w:color w:val="808080" w:themeColor="background1" w:themeShade="80"/>
                <w:sz w:val="20"/>
                <w:szCs w:val="20"/>
              </w:rPr>
              <w:t xml:space="preserve"> of the </w:t>
            </w:r>
            <w:proofErr w:type="spellStart"/>
            <w:r w:rsidRPr="004C0798">
              <w:rPr>
                <w:rFonts w:asciiTheme="majorHAnsi" w:hAnsiTheme="majorHAnsi" w:cstheme="majorHAnsi"/>
                <w:color w:val="808080" w:themeColor="background1" w:themeShade="80"/>
                <w:sz w:val="20"/>
                <w:szCs w:val="20"/>
              </w:rPr>
              <w:t>operation</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type</w:t>
            </w:r>
            <w:proofErr w:type="spellEnd"/>
            <w:r w:rsidRPr="004C0798">
              <w:rPr>
                <w:rFonts w:asciiTheme="majorHAnsi" w:hAnsiTheme="majorHAnsi" w:cstheme="majorHAnsi"/>
                <w:color w:val="808080" w:themeColor="background1" w:themeShade="80"/>
                <w:sz w:val="20"/>
                <w:szCs w:val="20"/>
              </w:rPr>
              <w:t xml:space="preserve"> </w:t>
            </w:r>
          </w:p>
        </w:tc>
        <w:tc>
          <w:tcPr>
            <w:tcW w:w="3552" w:type="dxa"/>
            <w:gridSpan w:val="3"/>
            <w:tcBorders>
              <w:top w:val="single" w:sz="4" w:space="0" w:color="000000"/>
              <w:left w:val="single" w:sz="4" w:space="0" w:color="000000"/>
              <w:bottom w:val="single" w:sz="4" w:space="0" w:color="000000"/>
              <w:right w:val="single" w:sz="4" w:space="0" w:color="000000"/>
            </w:tcBorders>
            <w:vAlign w:val="center"/>
          </w:tcPr>
          <w:p w14:paraId="5AD5E4BD"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r>
      <w:tr w:rsidR="00EA37BF" w:rsidRPr="004C0798" w14:paraId="168F0506" w14:textId="77777777" w:rsidTr="00861438">
        <w:trPr>
          <w:trHeight w:val="300"/>
        </w:trPr>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27FB5"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1.2 </w:t>
            </w:r>
            <w:r w:rsidRPr="004C0798">
              <w:rPr>
                <w:rFonts w:asciiTheme="majorHAnsi" w:hAnsiTheme="majorHAnsi" w:cstheme="majorHAnsi"/>
                <w:i/>
                <w:color w:val="808080" w:themeColor="background1" w:themeShade="80"/>
                <w:sz w:val="20"/>
                <w:szCs w:val="20"/>
              </w:rPr>
              <w:t>S</w:t>
            </w:r>
            <w:r w:rsidRPr="004C0798">
              <w:rPr>
                <w:rFonts w:asciiTheme="majorHAnsi" w:hAnsiTheme="majorHAnsi" w:cstheme="majorHAnsi"/>
                <w:color w:val="808080" w:themeColor="background1" w:themeShade="80"/>
                <w:sz w:val="20"/>
                <w:szCs w:val="20"/>
              </w:rPr>
              <w:t xml:space="preserve">pecific </w:t>
            </w:r>
            <w:proofErr w:type="spellStart"/>
            <w:r w:rsidRPr="004C0798">
              <w:rPr>
                <w:rFonts w:asciiTheme="majorHAnsi" w:hAnsiTheme="majorHAnsi" w:cstheme="majorHAnsi"/>
                <w:color w:val="808080" w:themeColor="background1" w:themeShade="80"/>
                <w:sz w:val="20"/>
                <w:szCs w:val="20"/>
              </w:rPr>
              <w:t>objective</w:t>
            </w:r>
            <w:proofErr w:type="spellEnd"/>
            <w:r w:rsidRPr="004C0798">
              <w:rPr>
                <w:rFonts w:asciiTheme="majorHAnsi" w:hAnsiTheme="majorHAnsi" w:cstheme="majorHAnsi"/>
                <w:i/>
                <w:color w:val="808080" w:themeColor="background1" w:themeShade="80"/>
                <w:sz w:val="20"/>
                <w:szCs w:val="20"/>
                <w:vertAlign w:val="superscript"/>
              </w:rPr>
              <w:footnoteReference w:id="16"/>
            </w:r>
          </w:p>
        </w:tc>
        <w:tc>
          <w:tcPr>
            <w:tcW w:w="3552" w:type="dxa"/>
            <w:gridSpan w:val="3"/>
            <w:tcBorders>
              <w:top w:val="single" w:sz="4" w:space="0" w:color="000000"/>
              <w:left w:val="single" w:sz="4" w:space="0" w:color="000000"/>
              <w:bottom w:val="single" w:sz="4" w:space="0" w:color="000000"/>
              <w:right w:val="single" w:sz="4" w:space="0" w:color="000000"/>
            </w:tcBorders>
            <w:vAlign w:val="center"/>
          </w:tcPr>
          <w:p w14:paraId="2DDA43EF"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p w14:paraId="296CE0FF"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p w14:paraId="510060D1"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r>
      <w:tr w:rsidR="00EA37BF" w:rsidRPr="004C0798" w14:paraId="41E1642E" w14:textId="77777777" w:rsidTr="00861438">
        <w:trPr>
          <w:trHeight w:val="300"/>
        </w:trPr>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07B85"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1.3 </w:t>
            </w:r>
            <w:proofErr w:type="spellStart"/>
            <w:r w:rsidRPr="004C0798">
              <w:rPr>
                <w:rFonts w:asciiTheme="majorHAnsi" w:hAnsiTheme="majorHAnsi" w:cstheme="majorHAnsi"/>
                <w:color w:val="808080" w:themeColor="background1" w:themeShade="80"/>
                <w:sz w:val="20"/>
                <w:szCs w:val="20"/>
              </w:rPr>
              <w:t>Conditions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fulfilled</w:t>
            </w:r>
            <w:proofErr w:type="spellEnd"/>
            <w:r w:rsidRPr="004C0798">
              <w:rPr>
                <w:rFonts w:asciiTheme="majorHAnsi" w:hAnsiTheme="majorHAnsi" w:cstheme="majorHAnsi"/>
                <w:color w:val="808080" w:themeColor="background1" w:themeShade="80"/>
                <w:sz w:val="20"/>
                <w:szCs w:val="20"/>
              </w:rPr>
              <w:t xml:space="preserve"> or </w:t>
            </w:r>
            <w:proofErr w:type="spellStart"/>
            <w:r w:rsidRPr="004C0798">
              <w:rPr>
                <w:rFonts w:asciiTheme="majorHAnsi" w:hAnsiTheme="majorHAnsi" w:cstheme="majorHAnsi"/>
                <w:color w:val="808080" w:themeColor="background1" w:themeShade="80"/>
                <w:sz w:val="20"/>
                <w:szCs w:val="20"/>
              </w:rPr>
              <w:t>results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achieved</w:t>
            </w:r>
            <w:proofErr w:type="spellEnd"/>
            <w:r w:rsidRPr="004C0798">
              <w:rPr>
                <w:rFonts w:asciiTheme="majorHAnsi" w:hAnsiTheme="majorHAnsi" w:cstheme="majorHAnsi"/>
                <w:color w:val="808080" w:themeColor="background1" w:themeShade="80"/>
                <w:sz w:val="20"/>
                <w:szCs w:val="20"/>
              </w:rPr>
              <w:t xml:space="preserve"> </w:t>
            </w:r>
          </w:p>
        </w:tc>
        <w:tc>
          <w:tcPr>
            <w:tcW w:w="3552" w:type="dxa"/>
            <w:gridSpan w:val="3"/>
            <w:tcBorders>
              <w:top w:val="single" w:sz="4" w:space="0" w:color="000000"/>
              <w:left w:val="single" w:sz="4" w:space="0" w:color="000000"/>
              <w:bottom w:val="single" w:sz="4" w:space="0" w:color="000000"/>
              <w:right w:val="single" w:sz="4" w:space="0" w:color="000000"/>
            </w:tcBorders>
            <w:vAlign w:val="center"/>
          </w:tcPr>
          <w:p w14:paraId="7E4F439A"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r>
      <w:tr w:rsidR="00EA37BF" w:rsidRPr="004C0798" w14:paraId="7D6FB46A" w14:textId="77777777" w:rsidTr="00861438">
        <w:trPr>
          <w:trHeight w:val="300"/>
        </w:trPr>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D0EA6"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1.4 </w:t>
            </w:r>
            <w:proofErr w:type="spellStart"/>
            <w:r w:rsidRPr="004C0798">
              <w:rPr>
                <w:rFonts w:asciiTheme="majorHAnsi" w:hAnsiTheme="majorHAnsi" w:cstheme="majorHAnsi"/>
                <w:color w:val="808080" w:themeColor="background1" w:themeShade="80"/>
                <w:sz w:val="20"/>
                <w:szCs w:val="20"/>
              </w:rPr>
              <w:t>Deadline</w:t>
            </w:r>
            <w:proofErr w:type="spellEnd"/>
            <w:r w:rsidRPr="004C0798">
              <w:rPr>
                <w:rFonts w:asciiTheme="majorHAnsi" w:hAnsiTheme="majorHAnsi" w:cstheme="majorHAnsi"/>
                <w:color w:val="808080" w:themeColor="background1" w:themeShade="80"/>
                <w:sz w:val="20"/>
                <w:szCs w:val="20"/>
              </w:rPr>
              <w:t xml:space="preserve"> for </w:t>
            </w:r>
            <w:proofErr w:type="spellStart"/>
            <w:r w:rsidRPr="004C0798">
              <w:rPr>
                <w:rFonts w:asciiTheme="majorHAnsi" w:hAnsiTheme="majorHAnsi" w:cstheme="majorHAnsi"/>
                <w:color w:val="808080" w:themeColor="background1" w:themeShade="80"/>
                <w:sz w:val="20"/>
                <w:szCs w:val="20"/>
              </w:rPr>
              <w:t>fulfilment</w:t>
            </w:r>
            <w:proofErr w:type="spellEnd"/>
            <w:r w:rsidRPr="004C0798">
              <w:rPr>
                <w:rFonts w:asciiTheme="majorHAnsi" w:hAnsiTheme="majorHAnsi" w:cstheme="majorHAnsi"/>
                <w:color w:val="808080" w:themeColor="background1" w:themeShade="80"/>
                <w:sz w:val="20"/>
                <w:szCs w:val="20"/>
              </w:rPr>
              <w:t xml:space="preserve"> of </w:t>
            </w:r>
            <w:proofErr w:type="spellStart"/>
            <w:r w:rsidRPr="004C0798">
              <w:rPr>
                <w:rFonts w:asciiTheme="majorHAnsi" w:hAnsiTheme="majorHAnsi" w:cstheme="majorHAnsi"/>
                <w:color w:val="808080" w:themeColor="background1" w:themeShade="80"/>
                <w:sz w:val="20"/>
                <w:szCs w:val="20"/>
              </w:rPr>
              <w:t>conditions</w:t>
            </w:r>
            <w:proofErr w:type="spellEnd"/>
            <w:r w:rsidRPr="004C0798">
              <w:rPr>
                <w:rFonts w:asciiTheme="majorHAnsi" w:hAnsiTheme="majorHAnsi" w:cstheme="majorHAnsi"/>
                <w:color w:val="808080" w:themeColor="background1" w:themeShade="80"/>
                <w:sz w:val="20"/>
                <w:szCs w:val="20"/>
              </w:rPr>
              <w:t xml:space="preserve"> or </w:t>
            </w:r>
            <w:proofErr w:type="spellStart"/>
            <w:r w:rsidRPr="004C0798">
              <w:rPr>
                <w:rFonts w:asciiTheme="majorHAnsi" w:hAnsiTheme="majorHAnsi" w:cstheme="majorHAnsi"/>
                <w:color w:val="808080" w:themeColor="background1" w:themeShade="80"/>
                <w:sz w:val="20"/>
                <w:szCs w:val="20"/>
              </w:rPr>
              <w:t>results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achieved</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vAlign w:val="center"/>
          </w:tcPr>
          <w:p w14:paraId="1BB8039F"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r>
      <w:tr w:rsidR="00EA37BF" w:rsidRPr="004C0798" w14:paraId="1584768E" w14:textId="77777777" w:rsidTr="00861438">
        <w:trPr>
          <w:trHeight w:val="300"/>
        </w:trPr>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9358D"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1.5 Indicator </w:t>
            </w:r>
            <w:proofErr w:type="spellStart"/>
            <w:r w:rsidRPr="004C0798">
              <w:rPr>
                <w:rFonts w:asciiTheme="majorHAnsi" w:hAnsiTheme="majorHAnsi" w:cstheme="majorHAnsi"/>
                <w:color w:val="808080" w:themeColor="background1" w:themeShade="80"/>
                <w:sz w:val="20"/>
                <w:szCs w:val="20"/>
              </w:rPr>
              <w:t>definition</w:t>
            </w:r>
            <w:proofErr w:type="spellEnd"/>
            <w:r w:rsidRPr="004C0798">
              <w:rPr>
                <w:rFonts w:asciiTheme="majorHAnsi" w:hAnsiTheme="majorHAnsi" w:cstheme="majorHAnsi"/>
                <w:color w:val="808080" w:themeColor="background1" w:themeShade="80"/>
                <w:sz w:val="20"/>
                <w:szCs w:val="20"/>
              </w:rPr>
              <w:t xml:space="preserve"> for </w:t>
            </w:r>
            <w:proofErr w:type="spellStart"/>
            <w:r w:rsidRPr="004C0798">
              <w:rPr>
                <w:rFonts w:asciiTheme="majorHAnsi" w:hAnsiTheme="majorHAnsi" w:cstheme="majorHAnsi"/>
                <w:color w:val="808080" w:themeColor="background1" w:themeShade="80"/>
                <w:sz w:val="20"/>
                <w:szCs w:val="20"/>
              </w:rPr>
              <w:t>deliverables</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vAlign w:val="center"/>
          </w:tcPr>
          <w:p w14:paraId="7C38438D"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r>
      <w:tr w:rsidR="00EA37BF" w:rsidRPr="004C0798" w14:paraId="27C8BC71" w14:textId="77777777" w:rsidTr="00861438">
        <w:trPr>
          <w:trHeight w:val="300"/>
        </w:trPr>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4E2A8"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1.6 Unit of </w:t>
            </w:r>
            <w:proofErr w:type="spellStart"/>
            <w:r w:rsidRPr="004C0798">
              <w:rPr>
                <w:rFonts w:asciiTheme="majorHAnsi" w:hAnsiTheme="majorHAnsi" w:cstheme="majorHAnsi"/>
                <w:color w:val="808080" w:themeColor="background1" w:themeShade="80"/>
                <w:sz w:val="20"/>
                <w:szCs w:val="20"/>
              </w:rPr>
              <w:t>measurement</w:t>
            </w:r>
            <w:proofErr w:type="spellEnd"/>
            <w:r w:rsidRPr="004C0798">
              <w:rPr>
                <w:rFonts w:asciiTheme="majorHAnsi" w:hAnsiTheme="majorHAnsi" w:cstheme="majorHAnsi"/>
                <w:color w:val="808080" w:themeColor="background1" w:themeShade="80"/>
                <w:sz w:val="20"/>
                <w:szCs w:val="20"/>
              </w:rPr>
              <w:t xml:space="preserve"> for indicator for </w:t>
            </w:r>
            <w:proofErr w:type="spellStart"/>
            <w:r w:rsidRPr="004C0798">
              <w:rPr>
                <w:rFonts w:asciiTheme="majorHAnsi" w:hAnsiTheme="majorHAnsi" w:cstheme="majorHAnsi"/>
                <w:color w:val="808080" w:themeColor="background1" w:themeShade="80"/>
                <w:sz w:val="20"/>
                <w:szCs w:val="20"/>
              </w:rPr>
              <w:t>deliverables</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vAlign w:val="center"/>
          </w:tcPr>
          <w:p w14:paraId="3D37FBEE"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r>
      <w:tr w:rsidR="00EA37BF" w:rsidRPr="004C0798" w14:paraId="01E861E1" w14:textId="77777777" w:rsidTr="00861438">
        <w:trPr>
          <w:trHeight w:val="360"/>
        </w:trPr>
        <w:tc>
          <w:tcPr>
            <w:tcW w:w="5535" w:type="dxa"/>
            <w:vMerge w:val="restart"/>
            <w:tcBorders>
              <w:top w:val="single" w:sz="4" w:space="0" w:color="000000"/>
              <w:left w:val="single" w:sz="4" w:space="0" w:color="000000"/>
              <w:right w:val="single" w:sz="4" w:space="0" w:color="000000"/>
            </w:tcBorders>
            <w:shd w:val="clear" w:color="auto" w:fill="auto"/>
            <w:vAlign w:val="center"/>
          </w:tcPr>
          <w:p w14:paraId="5AF212DE"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1.7 Intermediate </w:t>
            </w:r>
            <w:proofErr w:type="spellStart"/>
            <w:r w:rsidRPr="004C0798">
              <w:rPr>
                <w:rFonts w:asciiTheme="majorHAnsi" w:hAnsiTheme="majorHAnsi" w:cstheme="majorHAnsi"/>
                <w:color w:val="808080" w:themeColor="background1" w:themeShade="80"/>
                <w:sz w:val="20"/>
                <w:szCs w:val="20"/>
              </w:rPr>
              <w:t>deliverables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if</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applicable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triggering</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reimbursement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by</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Commission</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with</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schedule</w:t>
            </w:r>
            <w:proofErr w:type="spellEnd"/>
            <w:r w:rsidRPr="004C0798">
              <w:rPr>
                <w:rFonts w:asciiTheme="majorHAnsi" w:hAnsiTheme="majorHAnsi" w:cstheme="majorHAnsi"/>
                <w:color w:val="808080" w:themeColor="background1" w:themeShade="80"/>
                <w:sz w:val="20"/>
                <w:szCs w:val="20"/>
              </w:rPr>
              <w:t xml:space="preserve"> for </w:t>
            </w:r>
            <w:proofErr w:type="spellStart"/>
            <w:r w:rsidRPr="004C0798">
              <w:rPr>
                <w:rFonts w:asciiTheme="majorHAnsi" w:hAnsiTheme="majorHAnsi" w:cstheme="majorHAnsi"/>
                <w:color w:val="808080" w:themeColor="background1" w:themeShade="80"/>
                <w:sz w:val="20"/>
                <w:szCs w:val="20"/>
              </w:rPr>
              <w:t>reimbursements</w:t>
            </w:r>
            <w:proofErr w:type="spellEnd"/>
          </w:p>
        </w:tc>
        <w:tc>
          <w:tcPr>
            <w:tcW w:w="1429" w:type="dxa"/>
            <w:tcBorders>
              <w:top w:val="single" w:sz="4" w:space="0" w:color="000000"/>
              <w:left w:val="single" w:sz="4" w:space="0" w:color="000000"/>
              <w:bottom w:val="single" w:sz="4" w:space="0" w:color="000000"/>
              <w:right w:val="single" w:sz="4" w:space="0" w:color="000000"/>
            </w:tcBorders>
            <w:vAlign w:val="center"/>
          </w:tcPr>
          <w:p w14:paraId="13CAA3FF"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Intermediate </w:t>
            </w:r>
            <w:proofErr w:type="spellStart"/>
            <w:r w:rsidRPr="004C0798">
              <w:rPr>
                <w:rFonts w:asciiTheme="majorHAnsi" w:hAnsiTheme="majorHAnsi" w:cstheme="majorHAnsi"/>
                <w:color w:val="808080" w:themeColor="background1" w:themeShade="80"/>
                <w:sz w:val="20"/>
                <w:szCs w:val="20"/>
              </w:rPr>
              <w:t>deliverables</w:t>
            </w:r>
            <w:proofErr w:type="spellEnd"/>
            <w:r w:rsidRPr="004C0798">
              <w:rPr>
                <w:rFonts w:asciiTheme="majorHAnsi" w:hAnsiTheme="majorHAnsi" w:cstheme="majorHAnsi"/>
                <w:color w:val="808080" w:themeColor="background1" w:themeShade="80"/>
                <w:sz w:val="20"/>
                <w:szCs w:val="20"/>
              </w:rPr>
              <w:t xml:space="preserve"> </w:t>
            </w:r>
          </w:p>
        </w:tc>
        <w:tc>
          <w:tcPr>
            <w:tcW w:w="1026" w:type="dxa"/>
            <w:tcBorders>
              <w:top w:val="single" w:sz="4" w:space="0" w:color="000000"/>
              <w:left w:val="single" w:sz="4" w:space="0" w:color="000000"/>
              <w:bottom w:val="single" w:sz="4" w:space="0" w:color="000000"/>
              <w:right w:val="single" w:sz="4" w:space="0" w:color="000000"/>
            </w:tcBorders>
            <w:vAlign w:val="center"/>
          </w:tcPr>
          <w:p w14:paraId="60021CD7"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Date</w:t>
            </w:r>
          </w:p>
        </w:tc>
        <w:tc>
          <w:tcPr>
            <w:tcW w:w="1097" w:type="dxa"/>
            <w:tcBorders>
              <w:top w:val="single" w:sz="4" w:space="0" w:color="000000"/>
              <w:left w:val="single" w:sz="4" w:space="0" w:color="000000"/>
              <w:bottom w:val="single" w:sz="4" w:space="0" w:color="000000"/>
              <w:right w:val="single" w:sz="4" w:space="0" w:color="000000"/>
            </w:tcBorders>
            <w:vAlign w:val="center"/>
          </w:tcPr>
          <w:p w14:paraId="4C194E94"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Amounts</w:t>
            </w:r>
            <w:proofErr w:type="spellEnd"/>
          </w:p>
        </w:tc>
      </w:tr>
      <w:tr w:rsidR="00EA37BF" w:rsidRPr="004C0798" w14:paraId="1DC8539B" w14:textId="77777777" w:rsidTr="00861438">
        <w:trPr>
          <w:trHeight w:val="360"/>
        </w:trPr>
        <w:tc>
          <w:tcPr>
            <w:tcW w:w="5535" w:type="dxa"/>
            <w:vMerge/>
            <w:tcBorders>
              <w:top w:val="single" w:sz="4" w:space="0" w:color="000000"/>
              <w:left w:val="single" w:sz="4" w:space="0" w:color="000000"/>
              <w:right w:val="single" w:sz="4" w:space="0" w:color="000000"/>
            </w:tcBorders>
            <w:shd w:val="clear" w:color="auto" w:fill="auto"/>
            <w:vAlign w:val="center"/>
          </w:tcPr>
          <w:p w14:paraId="4AFFAD9C" w14:textId="77777777" w:rsidR="00EA37BF" w:rsidRPr="004C0798" w:rsidRDefault="00EA37BF" w:rsidP="00861438">
            <w:pPr>
              <w:widowControl w:val="0"/>
              <w:pBdr>
                <w:top w:val="nil"/>
                <w:left w:val="nil"/>
                <w:bottom w:val="nil"/>
                <w:right w:val="nil"/>
                <w:between w:val="nil"/>
              </w:pBdr>
              <w:spacing w:after="120" w:line="240" w:lineRule="auto"/>
              <w:rPr>
                <w:rFonts w:asciiTheme="majorHAnsi" w:hAnsiTheme="majorHAnsi" w:cstheme="majorHAnsi"/>
                <w:color w:val="808080" w:themeColor="background1" w:themeShade="80"/>
                <w:sz w:val="20"/>
                <w:szCs w:val="20"/>
              </w:rPr>
            </w:pPr>
          </w:p>
        </w:tc>
        <w:tc>
          <w:tcPr>
            <w:tcW w:w="1429" w:type="dxa"/>
            <w:tcBorders>
              <w:top w:val="single" w:sz="4" w:space="0" w:color="000000"/>
              <w:left w:val="single" w:sz="4" w:space="0" w:color="000000"/>
              <w:bottom w:val="single" w:sz="4" w:space="0" w:color="000000"/>
              <w:right w:val="single" w:sz="4" w:space="0" w:color="000000"/>
            </w:tcBorders>
            <w:vAlign w:val="center"/>
          </w:tcPr>
          <w:p w14:paraId="4DB40E58"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1026" w:type="dxa"/>
            <w:tcBorders>
              <w:top w:val="single" w:sz="4" w:space="0" w:color="000000"/>
              <w:left w:val="single" w:sz="4" w:space="0" w:color="000000"/>
              <w:bottom w:val="single" w:sz="4" w:space="0" w:color="000000"/>
              <w:right w:val="single" w:sz="4" w:space="0" w:color="000000"/>
            </w:tcBorders>
            <w:vAlign w:val="center"/>
          </w:tcPr>
          <w:p w14:paraId="0F971A31"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1097" w:type="dxa"/>
            <w:tcBorders>
              <w:top w:val="single" w:sz="4" w:space="0" w:color="000000"/>
              <w:left w:val="single" w:sz="4" w:space="0" w:color="000000"/>
              <w:bottom w:val="single" w:sz="4" w:space="0" w:color="000000"/>
              <w:right w:val="single" w:sz="4" w:space="0" w:color="000000"/>
            </w:tcBorders>
            <w:vAlign w:val="center"/>
          </w:tcPr>
          <w:p w14:paraId="32D48392"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r>
      <w:tr w:rsidR="00EA37BF" w:rsidRPr="004C0798" w14:paraId="550F0C9E" w14:textId="77777777" w:rsidTr="00861438">
        <w:trPr>
          <w:trHeight w:val="360"/>
        </w:trPr>
        <w:tc>
          <w:tcPr>
            <w:tcW w:w="5535" w:type="dxa"/>
            <w:vMerge/>
            <w:tcBorders>
              <w:top w:val="single" w:sz="4" w:space="0" w:color="000000"/>
              <w:left w:val="single" w:sz="4" w:space="0" w:color="000000"/>
              <w:right w:val="single" w:sz="4" w:space="0" w:color="000000"/>
            </w:tcBorders>
            <w:shd w:val="clear" w:color="auto" w:fill="auto"/>
            <w:vAlign w:val="center"/>
          </w:tcPr>
          <w:p w14:paraId="293C1370" w14:textId="77777777" w:rsidR="00EA37BF" w:rsidRPr="004C0798" w:rsidRDefault="00EA37BF" w:rsidP="00861438">
            <w:pPr>
              <w:widowControl w:val="0"/>
              <w:pBdr>
                <w:top w:val="nil"/>
                <w:left w:val="nil"/>
                <w:bottom w:val="nil"/>
                <w:right w:val="nil"/>
                <w:between w:val="nil"/>
              </w:pBdr>
              <w:spacing w:after="120" w:line="240" w:lineRule="auto"/>
              <w:rPr>
                <w:rFonts w:asciiTheme="majorHAnsi" w:hAnsiTheme="majorHAnsi" w:cstheme="majorHAnsi"/>
                <w:color w:val="808080" w:themeColor="background1" w:themeShade="80"/>
                <w:sz w:val="20"/>
                <w:szCs w:val="20"/>
              </w:rPr>
            </w:pPr>
          </w:p>
        </w:tc>
        <w:tc>
          <w:tcPr>
            <w:tcW w:w="1429" w:type="dxa"/>
            <w:tcBorders>
              <w:top w:val="single" w:sz="4" w:space="0" w:color="000000"/>
              <w:left w:val="single" w:sz="4" w:space="0" w:color="000000"/>
              <w:bottom w:val="single" w:sz="4" w:space="0" w:color="000000"/>
              <w:right w:val="single" w:sz="4" w:space="0" w:color="000000"/>
            </w:tcBorders>
            <w:vAlign w:val="center"/>
          </w:tcPr>
          <w:p w14:paraId="00C27706"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1026" w:type="dxa"/>
            <w:tcBorders>
              <w:top w:val="single" w:sz="4" w:space="0" w:color="000000"/>
              <w:left w:val="single" w:sz="4" w:space="0" w:color="000000"/>
              <w:bottom w:val="single" w:sz="4" w:space="0" w:color="000000"/>
              <w:right w:val="single" w:sz="4" w:space="0" w:color="000000"/>
            </w:tcBorders>
            <w:vAlign w:val="center"/>
          </w:tcPr>
          <w:p w14:paraId="3F5CD1A9"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c>
          <w:tcPr>
            <w:tcW w:w="1097" w:type="dxa"/>
            <w:tcBorders>
              <w:top w:val="single" w:sz="4" w:space="0" w:color="000000"/>
              <w:left w:val="single" w:sz="4" w:space="0" w:color="000000"/>
              <w:bottom w:val="single" w:sz="4" w:space="0" w:color="000000"/>
              <w:right w:val="single" w:sz="4" w:space="0" w:color="000000"/>
            </w:tcBorders>
            <w:vAlign w:val="center"/>
          </w:tcPr>
          <w:p w14:paraId="66E407E0"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r>
      <w:tr w:rsidR="00EA37BF" w:rsidRPr="004C0798" w14:paraId="0D49AF4E" w14:textId="77777777" w:rsidTr="00861438">
        <w:trPr>
          <w:trHeight w:val="300"/>
        </w:trPr>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3E6FC"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1.8 Total </w:t>
            </w:r>
            <w:proofErr w:type="spellStart"/>
            <w:r w:rsidRPr="004C0798">
              <w:rPr>
                <w:rFonts w:asciiTheme="majorHAnsi" w:hAnsiTheme="majorHAnsi" w:cstheme="majorHAnsi"/>
                <w:color w:val="808080" w:themeColor="background1" w:themeShade="80"/>
                <w:sz w:val="20"/>
                <w:szCs w:val="20"/>
              </w:rPr>
              <w:t>amount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including</w:t>
            </w:r>
            <w:proofErr w:type="spellEnd"/>
            <w:r w:rsidRPr="004C0798">
              <w:rPr>
                <w:rFonts w:asciiTheme="majorHAnsi" w:hAnsiTheme="majorHAnsi" w:cstheme="majorHAnsi"/>
                <w:color w:val="808080" w:themeColor="background1" w:themeShade="80"/>
                <w:sz w:val="20"/>
                <w:szCs w:val="20"/>
              </w:rPr>
              <w:t xml:space="preserve"> EU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national</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funding</w:t>
            </w:r>
            <w:proofErr w:type="spellEnd"/>
            <w:r w:rsidRPr="004C0798">
              <w:rPr>
                <w:rFonts w:asciiTheme="majorHAnsi" w:hAnsiTheme="majorHAnsi" w:cstheme="majorHAnsi"/>
                <w:color w:val="808080" w:themeColor="background1" w:themeShade="80"/>
                <w:sz w:val="20"/>
                <w:szCs w:val="20"/>
              </w:rPr>
              <w:t>)</w:t>
            </w:r>
          </w:p>
        </w:tc>
        <w:tc>
          <w:tcPr>
            <w:tcW w:w="3552" w:type="dxa"/>
            <w:gridSpan w:val="3"/>
            <w:tcBorders>
              <w:top w:val="single" w:sz="4" w:space="0" w:color="000000"/>
              <w:left w:val="single" w:sz="4" w:space="0" w:color="000000"/>
              <w:bottom w:val="single" w:sz="4" w:space="0" w:color="000000"/>
              <w:right w:val="single" w:sz="4" w:space="0" w:color="000000"/>
            </w:tcBorders>
            <w:vAlign w:val="center"/>
          </w:tcPr>
          <w:p w14:paraId="3CA1265E"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r>
      <w:tr w:rsidR="00EA37BF" w:rsidRPr="004C0798" w14:paraId="222531CD" w14:textId="77777777" w:rsidTr="00861438">
        <w:trPr>
          <w:trHeight w:val="300"/>
        </w:trPr>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6FDEE"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1.9 </w:t>
            </w:r>
            <w:proofErr w:type="spellStart"/>
            <w:r w:rsidRPr="004C0798">
              <w:rPr>
                <w:rFonts w:asciiTheme="majorHAnsi" w:hAnsiTheme="majorHAnsi" w:cstheme="majorHAnsi"/>
                <w:color w:val="808080" w:themeColor="background1" w:themeShade="80"/>
                <w:sz w:val="20"/>
                <w:szCs w:val="20"/>
              </w:rPr>
              <w:t>Adjustment</w:t>
            </w:r>
            <w:proofErr w:type="spellEnd"/>
            <w:r w:rsidRPr="004C0798">
              <w:rPr>
                <w:rFonts w:asciiTheme="majorHAnsi" w:hAnsiTheme="majorHAnsi" w:cstheme="majorHAnsi"/>
                <w:color w:val="808080" w:themeColor="background1" w:themeShade="80"/>
                <w:sz w:val="20"/>
                <w:szCs w:val="20"/>
              </w:rPr>
              <w:t xml:space="preserve">(s) </w:t>
            </w:r>
            <w:proofErr w:type="spellStart"/>
            <w:r w:rsidRPr="004C0798">
              <w:rPr>
                <w:rFonts w:asciiTheme="majorHAnsi" w:hAnsiTheme="majorHAnsi" w:cstheme="majorHAnsi"/>
                <w:color w:val="808080" w:themeColor="background1" w:themeShade="80"/>
                <w:sz w:val="20"/>
                <w:szCs w:val="20"/>
              </w:rPr>
              <w:t>method</w:t>
            </w:r>
            <w:proofErr w:type="spellEnd"/>
          </w:p>
        </w:tc>
        <w:tc>
          <w:tcPr>
            <w:tcW w:w="3552" w:type="dxa"/>
            <w:gridSpan w:val="3"/>
            <w:tcBorders>
              <w:top w:val="single" w:sz="4" w:space="0" w:color="000000"/>
              <w:left w:val="single" w:sz="4" w:space="0" w:color="000000"/>
              <w:bottom w:val="single" w:sz="4" w:space="0" w:color="000000"/>
              <w:right w:val="single" w:sz="4" w:space="0" w:color="000000"/>
            </w:tcBorders>
            <w:vAlign w:val="center"/>
          </w:tcPr>
          <w:p w14:paraId="78D86EF2" w14:textId="77777777" w:rsidR="00EA37BF" w:rsidRPr="004C0798" w:rsidRDefault="00EA37BF" w:rsidP="00861438">
            <w:pPr>
              <w:spacing w:after="120" w:line="240" w:lineRule="auto"/>
              <w:jc w:val="center"/>
              <w:rPr>
                <w:rFonts w:asciiTheme="majorHAnsi" w:hAnsiTheme="majorHAnsi" w:cstheme="majorHAnsi"/>
                <w:i/>
                <w:color w:val="808080" w:themeColor="background1" w:themeShade="80"/>
                <w:sz w:val="20"/>
                <w:szCs w:val="20"/>
              </w:rPr>
            </w:pPr>
          </w:p>
        </w:tc>
      </w:tr>
      <w:tr w:rsidR="00EA37BF" w:rsidRPr="004C0798" w14:paraId="2C4CBC80" w14:textId="77777777" w:rsidTr="00861438">
        <w:trPr>
          <w:trHeight w:val="300"/>
        </w:trPr>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450EE"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1.10 </w:t>
            </w:r>
            <w:proofErr w:type="spellStart"/>
            <w:r w:rsidRPr="004C0798">
              <w:rPr>
                <w:rFonts w:asciiTheme="majorHAnsi" w:hAnsiTheme="majorHAnsi" w:cstheme="majorHAnsi"/>
                <w:color w:val="808080" w:themeColor="background1" w:themeShade="80"/>
                <w:sz w:val="20"/>
                <w:szCs w:val="20"/>
              </w:rPr>
              <w:t>Verification</w:t>
            </w:r>
            <w:proofErr w:type="spellEnd"/>
            <w:r w:rsidRPr="004C0798">
              <w:rPr>
                <w:rFonts w:asciiTheme="majorHAnsi" w:hAnsiTheme="majorHAnsi" w:cstheme="majorHAnsi"/>
                <w:color w:val="808080" w:themeColor="background1" w:themeShade="80"/>
                <w:sz w:val="20"/>
                <w:szCs w:val="20"/>
              </w:rPr>
              <w:t xml:space="preserve"> of the </w:t>
            </w:r>
            <w:proofErr w:type="spellStart"/>
            <w:r w:rsidRPr="004C0798">
              <w:rPr>
                <w:rFonts w:asciiTheme="majorHAnsi" w:hAnsiTheme="majorHAnsi" w:cstheme="majorHAnsi"/>
                <w:color w:val="808080" w:themeColor="background1" w:themeShade="80"/>
                <w:sz w:val="20"/>
                <w:szCs w:val="20"/>
              </w:rPr>
              <w:t>achievement</w:t>
            </w:r>
            <w:proofErr w:type="spellEnd"/>
            <w:r w:rsidRPr="004C0798">
              <w:rPr>
                <w:rFonts w:asciiTheme="majorHAnsi" w:hAnsiTheme="majorHAnsi" w:cstheme="majorHAnsi"/>
                <w:color w:val="808080" w:themeColor="background1" w:themeShade="80"/>
                <w:sz w:val="20"/>
                <w:szCs w:val="20"/>
              </w:rPr>
              <w:t xml:space="preserve"> of the </w:t>
            </w:r>
            <w:proofErr w:type="spellStart"/>
            <w:r w:rsidRPr="004C0798">
              <w:rPr>
                <w:rFonts w:asciiTheme="majorHAnsi" w:hAnsiTheme="majorHAnsi" w:cstheme="majorHAnsi"/>
                <w:color w:val="808080" w:themeColor="background1" w:themeShade="80"/>
                <w:sz w:val="20"/>
                <w:szCs w:val="20"/>
              </w:rPr>
              <w:t>result</w:t>
            </w:r>
            <w:proofErr w:type="spellEnd"/>
            <w:r w:rsidRPr="004C0798">
              <w:rPr>
                <w:rFonts w:asciiTheme="majorHAnsi" w:hAnsiTheme="majorHAnsi" w:cstheme="majorHAnsi"/>
                <w:color w:val="808080" w:themeColor="background1" w:themeShade="80"/>
                <w:sz w:val="20"/>
                <w:szCs w:val="20"/>
              </w:rPr>
              <w:t xml:space="preserve"> or </w:t>
            </w:r>
            <w:proofErr w:type="spellStart"/>
            <w:r w:rsidRPr="004C0798">
              <w:rPr>
                <w:rFonts w:asciiTheme="majorHAnsi" w:hAnsiTheme="majorHAnsi" w:cstheme="majorHAnsi"/>
                <w:color w:val="808080" w:themeColor="background1" w:themeShade="80"/>
                <w:sz w:val="20"/>
                <w:szCs w:val="20"/>
              </w:rPr>
              <w:t>condition</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where</w:t>
            </w:r>
            <w:proofErr w:type="spellEnd"/>
            <w:r w:rsidRPr="004C0798">
              <w:rPr>
                <w:rFonts w:asciiTheme="majorHAnsi" w:hAnsiTheme="majorHAnsi" w:cstheme="majorHAnsi"/>
                <w:color w:val="808080" w:themeColor="background1" w:themeShade="80"/>
                <w:sz w:val="20"/>
                <w:szCs w:val="20"/>
              </w:rPr>
              <w:t xml:space="preserve"> relevant, the intermediate </w:t>
            </w:r>
            <w:proofErr w:type="spellStart"/>
            <w:r w:rsidRPr="004C0798">
              <w:rPr>
                <w:rFonts w:asciiTheme="majorHAnsi" w:hAnsiTheme="majorHAnsi" w:cstheme="majorHAnsi"/>
                <w:color w:val="808080" w:themeColor="background1" w:themeShade="80"/>
                <w:sz w:val="20"/>
                <w:szCs w:val="20"/>
              </w:rPr>
              <w:t>deliverables</w:t>
            </w:r>
            <w:proofErr w:type="spellEnd"/>
            <w:r w:rsidRPr="004C0798">
              <w:rPr>
                <w:rFonts w:asciiTheme="majorHAnsi" w:hAnsiTheme="majorHAnsi" w:cstheme="majorHAnsi"/>
                <w:color w:val="808080" w:themeColor="background1" w:themeShade="80"/>
                <w:sz w:val="20"/>
                <w:szCs w:val="20"/>
              </w:rPr>
              <w:t>)</w:t>
            </w:r>
          </w:p>
          <w:p w14:paraId="42D16A91"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what</w:t>
            </w:r>
            <w:proofErr w:type="spellEnd"/>
            <w:r w:rsidRPr="004C0798">
              <w:rPr>
                <w:rFonts w:asciiTheme="majorHAnsi" w:hAnsiTheme="majorHAnsi" w:cstheme="majorHAnsi"/>
                <w:color w:val="808080" w:themeColor="background1" w:themeShade="80"/>
                <w:sz w:val="20"/>
                <w:szCs w:val="20"/>
              </w:rPr>
              <w:t xml:space="preserve"> document(s) </w:t>
            </w:r>
            <w:proofErr w:type="spellStart"/>
            <w:r w:rsidRPr="004C0798">
              <w:rPr>
                <w:rFonts w:asciiTheme="majorHAnsi" w:hAnsiTheme="majorHAnsi" w:cstheme="majorHAnsi"/>
                <w:color w:val="808080" w:themeColor="background1" w:themeShade="80"/>
                <w:sz w:val="20"/>
                <w:szCs w:val="20"/>
              </w:rPr>
              <w:t>will</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used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verify</w:t>
            </w:r>
            <w:proofErr w:type="spellEnd"/>
            <w:r w:rsidRPr="004C0798">
              <w:rPr>
                <w:rFonts w:asciiTheme="majorHAnsi" w:hAnsiTheme="majorHAnsi" w:cstheme="majorHAnsi"/>
                <w:color w:val="808080" w:themeColor="background1" w:themeShade="80"/>
                <w:sz w:val="20"/>
                <w:szCs w:val="20"/>
              </w:rPr>
              <w:t xml:space="preserve"> the </w:t>
            </w:r>
            <w:proofErr w:type="spellStart"/>
            <w:r w:rsidRPr="004C0798">
              <w:rPr>
                <w:rFonts w:asciiTheme="majorHAnsi" w:hAnsiTheme="majorHAnsi" w:cstheme="majorHAnsi"/>
                <w:color w:val="808080" w:themeColor="background1" w:themeShade="80"/>
                <w:sz w:val="20"/>
                <w:szCs w:val="20"/>
              </w:rPr>
              <w:t>achievement</w:t>
            </w:r>
            <w:proofErr w:type="spellEnd"/>
            <w:r w:rsidRPr="004C0798">
              <w:rPr>
                <w:rFonts w:asciiTheme="majorHAnsi" w:hAnsiTheme="majorHAnsi" w:cstheme="majorHAnsi"/>
                <w:color w:val="808080" w:themeColor="background1" w:themeShade="80"/>
                <w:sz w:val="20"/>
                <w:szCs w:val="20"/>
              </w:rPr>
              <w:t xml:space="preserve"> of the </w:t>
            </w:r>
            <w:proofErr w:type="spellStart"/>
            <w:r w:rsidRPr="004C0798">
              <w:rPr>
                <w:rFonts w:asciiTheme="majorHAnsi" w:hAnsiTheme="majorHAnsi" w:cstheme="majorHAnsi"/>
                <w:color w:val="808080" w:themeColor="background1" w:themeShade="80"/>
                <w:sz w:val="20"/>
                <w:szCs w:val="20"/>
              </w:rPr>
              <w:t>result</w:t>
            </w:r>
            <w:proofErr w:type="spellEnd"/>
            <w:r w:rsidRPr="004C0798">
              <w:rPr>
                <w:rFonts w:asciiTheme="majorHAnsi" w:hAnsiTheme="majorHAnsi" w:cstheme="majorHAnsi"/>
                <w:color w:val="808080" w:themeColor="background1" w:themeShade="80"/>
                <w:sz w:val="20"/>
                <w:szCs w:val="20"/>
              </w:rPr>
              <w:t xml:space="preserve"> or </w:t>
            </w:r>
            <w:proofErr w:type="spellStart"/>
            <w:r w:rsidRPr="004C0798">
              <w:rPr>
                <w:rFonts w:asciiTheme="majorHAnsi" w:hAnsiTheme="majorHAnsi" w:cstheme="majorHAnsi"/>
                <w:color w:val="808080" w:themeColor="background1" w:themeShade="80"/>
                <w:sz w:val="20"/>
                <w:szCs w:val="20"/>
              </w:rPr>
              <w:t>condition</w:t>
            </w:r>
            <w:proofErr w:type="spellEnd"/>
            <w:r w:rsidRPr="004C0798">
              <w:rPr>
                <w:rFonts w:asciiTheme="majorHAnsi" w:hAnsiTheme="majorHAnsi" w:cstheme="majorHAnsi"/>
                <w:color w:val="808080" w:themeColor="background1" w:themeShade="80"/>
                <w:sz w:val="20"/>
                <w:szCs w:val="20"/>
              </w:rPr>
              <w:t>?</w:t>
            </w:r>
          </w:p>
          <w:p w14:paraId="76F207AD"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describe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what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will</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checked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during</w:t>
            </w:r>
            <w:proofErr w:type="spellEnd"/>
            <w:r w:rsidRPr="004C0798">
              <w:rPr>
                <w:rFonts w:asciiTheme="majorHAnsi" w:hAnsiTheme="majorHAnsi" w:cstheme="majorHAnsi"/>
                <w:color w:val="808080" w:themeColor="background1" w:themeShade="80"/>
                <w:sz w:val="20"/>
                <w:szCs w:val="20"/>
              </w:rPr>
              <w:t xml:space="preserve"> management </w:t>
            </w:r>
            <w:proofErr w:type="spellStart"/>
            <w:r w:rsidRPr="004C0798">
              <w:rPr>
                <w:rFonts w:asciiTheme="majorHAnsi" w:hAnsiTheme="majorHAnsi" w:cstheme="majorHAnsi"/>
                <w:color w:val="808080" w:themeColor="background1" w:themeShade="80"/>
                <w:sz w:val="20"/>
                <w:szCs w:val="20"/>
              </w:rPr>
              <w:t>verifications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including</w:t>
            </w:r>
            <w:proofErr w:type="spellEnd"/>
            <w:r w:rsidRPr="004C0798">
              <w:rPr>
                <w:rFonts w:asciiTheme="majorHAnsi" w:hAnsiTheme="majorHAnsi" w:cstheme="majorHAnsi"/>
                <w:color w:val="808080" w:themeColor="background1" w:themeShade="80"/>
                <w:sz w:val="20"/>
                <w:szCs w:val="20"/>
              </w:rPr>
              <w:t xml:space="preserve"> on-the-spot),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by</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whom</w:t>
            </w:r>
            <w:proofErr w:type="spellEnd"/>
            <w:r w:rsidRPr="004C0798">
              <w:rPr>
                <w:rFonts w:asciiTheme="majorHAnsi" w:hAnsiTheme="majorHAnsi" w:cstheme="majorHAnsi"/>
                <w:color w:val="808080" w:themeColor="background1" w:themeShade="80"/>
                <w:sz w:val="20"/>
                <w:szCs w:val="20"/>
              </w:rPr>
              <w:t>.</w:t>
            </w:r>
          </w:p>
          <w:p w14:paraId="3E1D713B"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what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arrangements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collect</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and</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store</w:t>
            </w:r>
            <w:proofErr w:type="spellEnd"/>
            <w:r w:rsidRPr="004C0798">
              <w:rPr>
                <w:rFonts w:asciiTheme="majorHAnsi" w:hAnsiTheme="majorHAnsi" w:cstheme="majorHAnsi"/>
                <w:color w:val="808080" w:themeColor="background1" w:themeShade="80"/>
                <w:sz w:val="20"/>
                <w:szCs w:val="20"/>
              </w:rPr>
              <w:t xml:space="preserve"> the data/</w:t>
            </w:r>
            <w:proofErr w:type="spellStart"/>
            <w:r w:rsidRPr="004C0798">
              <w:rPr>
                <w:rFonts w:asciiTheme="majorHAnsi" w:hAnsiTheme="majorHAnsi" w:cstheme="majorHAnsi"/>
                <w:color w:val="808080" w:themeColor="background1" w:themeShade="80"/>
                <w:sz w:val="20"/>
                <w:szCs w:val="20"/>
              </w:rPr>
              <w:t>documents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described</w:t>
            </w:r>
            <w:proofErr w:type="spellEnd"/>
            <w:r w:rsidRPr="004C0798">
              <w:rPr>
                <w:rFonts w:asciiTheme="majorHAnsi" w:hAnsiTheme="majorHAnsi" w:cstheme="majorHAnsi"/>
                <w:color w:val="808080" w:themeColor="background1" w:themeShade="80"/>
                <w:sz w:val="20"/>
                <w:szCs w:val="20"/>
              </w:rPr>
              <w:t xml:space="preserve">?  </w:t>
            </w:r>
          </w:p>
          <w:p w14:paraId="0A8DC82B"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
        </w:tc>
        <w:tc>
          <w:tcPr>
            <w:tcW w:w="3552" w:type="dxa"/>
            <w:gridSpan w:val="3"/>
            <w:tcBorders>
              <w:top w:val="single" w:sz="4" w:space="0" w:color="000000"/>
              <w:left w:val="single" w:sz="4" w:space="0" w:color="000000"/>
              <w:bottom w:val="single" w:sz="4" w:space="0" w:color="000000"/>
              <w:right w:val="single" w:sz="4" w:space="0" w:color="000000"/>
            </w:tcBorders>
            <w:vAlign w:val="center"/>
          </w:tcPr>
          <w:p w14:paraId="7C44C407"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p w14:paraId="75213966"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p w14:paraId="16A3FDCF"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r>
      <w:tr w:rsidR="00EA37BF" w:rsidRPr="004C0798" w14:paraId="0C4AB493" w14:textId="77777777" w:rsidTr="00861438">
        <w:trPr>
          <w:trHeight w:val="300"/>
        </w:trPr>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84D39"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1.10a </w:t>
            </w:r>
            <w:proofErr w:type="spellStart"/>
            <w:r w:rsidRPr="004C0798">
              <w:rPr>
                <w:rFonts w:asciiTheme="majorHAnsi" w:hAnsiTheme="majorHAnsi" w:cstheme="majorHAnsi"/>
                <w:i/>
                <w:color w:val="808080" w:themeColor="background1" w:themeShade="80"/>
                <w:sz w:val="20"/>
                <w:szCs w:val="20"/>
              </w:rPr>
              <w:t>Does</w:t>
            </w:r>
            <w:proofErr w:type="spellEnd"/>
            <w:r w:rsidRPr="004C0798">
              <w:rPr>
                <w:rFonts w:asciiTheme="majorHAnsi" w:hAnsiTheme="majorHAnsi" w:cstheme="majorHAnsi"/>
                <w:i/>
                <w:color w:val="808080" w:themeColor="background1" w:themeShade="80"/>
                <w:sz w:val="20"/>
                <w:szCs w:val="20"/>
              </w:rPr>
              <w:t xml:space="preserve"> the grant </w:t>
            </w:r>
            <w:proofErr w:type="spellStart"/>
            <w:r w:rsidRPr="004C0798">
              <w:rPr>
                <w:rFonts w:asciiTheme="majorHAnsi" w:hAnsiTheme="majorHAnsi" w:cstheme="majorHAnsi"/>
                <w:i/>
                <w:color w:val="808080" w:themeColor="background1" w:themeShade="80"/>
                <w:sz w:val="20"/>
                <w:szCs w:val="20"/>
              </w:rPr>
              <w:t>provided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by</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Member</w:t>
            </w:r>
            <w:proofErr w:type="spellEnd"/>
            <w:r w:rsidRPr="004C0798">
              <w:rPr>
                <w:rFonts w:asciiTheme="majorHAnsi" w:hAnsiTheme="majorHAnsi" w:cstheme="majorHAnsi"/>
                <w:i/>
                <w:color w:val="808080" w:themeColor="background1" w:themeShade="80"/>
                <w:sz w:val="20"/>
                <w:szCs w:val="20"/>
              </w:rPr>
              <w:t xml:space="preserve"> State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beneficiaries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take</w:t>
            </w:r>
            <w:proofErr w:type="spellEnd"/>
            <w:r w:rsidRPr="004C0798">
              <w:rPr>
                <w:rFonts w:asciiTheme="majorHAnsi" w:hAnsiTheme="majorHAnsi" w:cstheme="majorHAnsi"/>
                <w:i/>
                <w:color w:val="808080" w:themeColor="background1" w:themeShade="80"/>
                <w:sz w:val="20"/>
                <w:szCs w:val="20"/>
              </w:rPr>
              <w:t xml:space="preserve"> the </w:t>
            </w:r>
            <w:proofErr w:type="spellStart"/>
            <w:r w:rsidRPr="004C0798">
              <w:rPr>
                <w:rFonts w:asciiTheme="majorHAnsi" w:hAnsiTheme="majorHAnsi" w:cstheme="majorHAnsi"/>
                <w:i/>
                <w:color w:val="808080" w:themeColor="background1" w:themeShade="80"/>
                <w:sz w:val="20"/>
                <w:szCs w:val="20"/>
              </w:rPr>
              <w:t>form</w:t>
            </w:r>
            <w:proofErr w:type="spellEnd"/>
            <w:r w:rsidRPr="004C0798">
              <w:rPr>
                <w:rFonts w:asciiTheme="majorHAnsi" w:hAnsiTheme="majorHAnsi" w:cstheme="majorHAnsi"/>
                <w:i/>
                <w:color w:val="808080" w:themeColor="background1" w:themeShade="80"/>
                <w:sz w:val="20"/>
                <w:szCs w:val="20"/>
              </w:rPr>
              <w:t xml:space="preserve"> of </w:t>
            </w:r>
            <w:proofErr w:type="spellStart"/>
            <w:r w:rsidRPr="004C0798">
              <w:rPr>
                <w:rFonts w:asciiTheme="majorHAnsi" w:hAnsiTheme="majorHAnsi" w:cstheme="majorHAnsi"/>
                <w:i/>
                <w:color w:val="808080" w:themeColor="background1" w:themeShade="80"/>
                <w:sz w:val="20"/>
                <w:szCs w:val="20"/>
              </w:rPr>
              <w:t>financing</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not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linked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costs</w:t>
            </w:r>
            <w:proofErr w:type="spellEnd"/>
            <w:r w:rsidRPr="004C0798">
              <w:rPr>
                <w:rFonts w:asciiTheme="majorHAnsi" w:hAnsiTheme="majorHAnsi" w:cstheme="majorHAnsi"/>
                <w:i/>
                <w:color w:val="808080" w:themeColor="background1" w:themeShade="80"/>
                <w:sz w:val="20"/>
                <w:szCs w:val="20"/>
              </w:rPr>
              <w:t>? [Y/N]</w:t>
            </w:r>
            <w:r w:rsidRPr="004C0798">
              <w:rPr>
                <w:rFonts w:asciiTheme="majorHAnsi" w:hAnsiTheme="majorHAnsi" w:cstheme="majorHAnsi"/>
                <w:i/>
                <w:color w:val="808080" w:themeColor="background1" w:themeShade="80"/>
                <w:sz w:val="20"/>
                <w:szCs w:val="20"/>
                <w:vertAlign w:val="superscript"/>
              </w:rPr>
              <w:footnoteReference w:id="17"/>
            </w:r>
          </w:p>
        </w:tc>
        <w:tc>
          <w:tcPr>
            <w:tcW w:w="3552" w:type="dxa"/>
            <w:gridSpan w:val="3"/>
            <w:tcBorders>
              <w:top w:val="single" w:sz="4" w:space="0" w:color="000000"/>
              <w:left w:val="single" w:sz="4" w:space="0" w:color="000000"/>
              <w:bottom w:val="single" w:sz="4" w:space="0" w:color="000000"/>
              <w:right w:val="single" w:sz="4" w:space="0" w:color="000000"/>
            </w:tcBorders>
            <w:vAlign w:val="center"/>
          </w:tcPr>
          <w:p w14:paraId="68E74B90"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r>
      <w:tr w:rsidR="00EA37BF" w:rsidRPr="004C0798" w14:paraId="2589A612" w14:textId="77777777" w:rsidTr="00861438">
        <w:trPr>
          <w:trHeight w:val="300"/>
        </w:trPr>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E160A"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r w:rsidRPr="004C0798">
              <w:rPr>
                <w:rFonts w:asciiTheme="majorHAnsi" w:hAnsiTheme="majorHAnsi" w:cstheme="majorHAnsi"/>
                <w:color w:val="808080" w:themeColor="background1" w:themeShade="80"/>
                <w:sz w:val="20"/>
                <w:szCs w:val="20"/>
              </w:rPr>
              <w:t xml:space="preserve">1.11 </w:t>
            </w:r>
            <w:proofErr w:type="spellStart"/>
            <w:r w:rsidRPr="004C0798">
              <w:rPr>
                <w:rFonts w:asciiTheme="majorHAnsi" w:hAnsiTheme="majorHAnsi" w:cstheme="majorHAnsi"/>
                <w:color w:val="808080" w:themeColor="background1" w:themeShade="80"/>
                <w:sz w:val="20"/>
                <w:szCs w:val="20"/>
              </w:rPr>
              <w:t>Arrangements</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to</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ensure</w:t>
            </w:r>
            <w:proofErr w:type="spellEnd"/>
            <w:r w:rsidRPr="004C0798">
              <w:rPr>
                <w:rFonts w:asciiTheme="majorHAnsi" w:hAnsiTheme="majorHAnsi" w:cstheme="majorHAnsi"/>
                <w:color w:val="808080" w:themeColor="background1" w:themeShade="80"/>
                <w:sz w:val="20"/>
                <w:szCs w:val="20"/>
              </w:rPr>
              <w:t xml:space="preserve"> the audit </w:t>
            </w:r>
            <w:proofErr w:type="spellStart"/>
            <w:r w:rsidRPr="004C0798">
              <w:rPr>
                <w:rFonts w:asciiTheme="majorHAnsi" w:hAnsiTheme="majorHAnsi" w:cstheme="majorHAnsi"/>
                <w:color w:val="808080" w:themeColor="background1" w:themeShade="80"/>
                <w:sz w:val="20"/>
                <w:szCs w:val="20"/>
              </w:rPr>
              <w:t>trail</w:t>
            </w:r>
            <w:proofErr w:type="spellEnd"/>
            <w:r w:rsidRPr="004C0798">
              <w:rPr>
                <w:rFonts w:asciiTheme="majorHAnsi" w:hAnsiTheme="majorHAnsi" w:cstheme="majorHAnsi"/>
                <w:color w:val="808080" w:themeColor="background1" w:themeShade="80"/>
                <w:sz w:val="20"/>
                <w:szCs w:val="20"/>
              </w:rPr>
              <w:t xml:space="preserve"> </w:t>
            </w:r>
          </w:p>
          <w:p w14:paraId="36A03EAC" w14:textId="77777777" w:rsidR="00EA37BF" w:rsidRPr="004C0798" w:rsidRDefault="00EA37BF" w:rsidP="00861438">
            <w:pPr>
              <w:spacing w:after="120" w:line="240" w:lineRule="auto"/>
              <w:rPr>
                <w:rFonts w:asciiTheme="majorHAnsi" w:hAnsiTheme="majorHAnsi" w:cstheme="majorHAnsi"/>
                <w:color w:val="808080" w:themeColor="background1" w:themeShade="80"/>
                <w:sz w:val="20"/>
                <w:szCs w:val="20"/>
              </w:rPr>
            </w:pPr>
            <w:proofErr w:type="spellStart"/>
            <w:r w:rsidRPr="004C0798">
              <w:rPr>
                <w:rFonts w:asciiTheme="majorHAnsi" w:hAnsiTheme="majorHAnsi" w:cstheme="majorHAnsi"/>
                <w:color w:val="808080" w:themeColor="background1" w:themeShade="80"/>
                <w:sz w:val="20"/>
                <w:szCs w:val="20"/>
              </w:rPr>
              <w:t>Please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list</w:t>
            </w:r>
            <w:proofErr w:type="spellEnd"/>
            <w:r w:rsidRPr="004C0798">
              <w:rPr>
                <w:rFonts w:asciiTheme="majorHAnsi" w:hAnsiTheme="majorHAnsi" w:cstheme="majorHAnsi"/>
                <w:color w:val="808080" w:themeColor="background1" w:themeShade="80"/>
                <w:sz w:val="20"/>
                <w:szCs w:val="20"/>
              </w:rPr>
              <w:t xml:space="preserve"> the body(ies) </w:t>
            </w:r>
            <w:proofErr w:type="spellStart"/>
            <w:r w:rsidRPr="004C0798">
              <w:rPr>
                <w:rFonts w:asciiTheme="majorHAnsi" w:hAnsiTheme="majorHAnsi" w:cstheme="majorHAnsi"/>
                <w:color w:val="808080" w:themeColor="background1" w:themeShade="80"/>
                <w:sz w:val="20"/>
                <w:szCs w:val="20"/>
              </w:rPr>
              <w:t>responsible</w:t>
            </w:r>
            <w:proofErr w:type="spellEnd"/>
            <w:r w:rsidRPr="004C0798">
              <w:rPr>
                <w:rFonts w:asciiTheme="majorHAnsi" w:hAnsiTheme="majorHAnsi" w:cstheme="majorHAnsi"/>
                <w:color w:val="808080" w:themeColor="background1" w:themeShade="80"/>
                <w:sz w:val="20"/>
                <w:szCs w:val="20"/>
              </w:rPr>
              <w:t xml:space="preserve"> for </w:t>
            </w:r>
            <w:proofErr w:type="spellStart"/>
            <w:r w:rsidRPr="004C0798">
              <w:rPr>
                <w:rFonts w:asciiTheme="majorHAnsi" w:hAnsiTheme="majorHAnsi" w:cstheme="majorHAnsi"/>
                <w:color w:val="808080" w:themeColor="background1" w:themeShade="80"/>
                <w:sz w:val="20"/>
                <w:szCs w:val="20"/>
              </w:rPr>
              <w:t>these</w:t>
            </w:r>
            <w:proofErr w:type="spellEnd"/>
            <w:r w:rsidRPr="004C0798">
              <w:rPr>
                <w:rFonts w:asciiTheme="majorHAnsi" w:hAnsiTheme="majorHAnsi" w:cstheme="majorHAnsi"/>
                <w:color w:val="808080" w:themeColor="background1" w:themeShade="80"/>
                <w:sz w:val="20"/>
                <w:szCs w:val="20"/>
              </w:rPr>
              <w:t xml:space="preserve"> </w:t>
            </w:r>
            <w:proofErr w:type="spellStart"/>
            <w:r w:rsidRPr="004C0798">
              <w:rPr>
                <w:rFonts w:asciiTheme="majorHAnsi" w:hAnsiTheme="majorHAnsi" w:cstheme="majorHAnsi"/>
                <w:color w:val="808080" w:themeColor="background1" w:themeShade="80"/>
                <w:sz w:val="20"/>
                <w:szCs w:val="20"/>
              </w:rPr>
              <w:t>arrangements</w:t>
            </w:r>
            <w:proofErr w:type="spellEnd"/>
            <w:r w:rsidRPr="004C0798">
              <w:rPr>
                <w:rFonts w:asciiTheme="majorHAnsi" w:hAnsiTheme="majorHAnsi" w:cstheme="majorHAnsi"/>
                <w:color w:val="808080" w:themeColor="background1" w:themeShade="80"/>
                <w:sz w:val="20"/>
                <w:szCs w:val="20"/>
              </w:rPr>
              <w:t>.</w:t>
            </w:r>
          </w:p>
        </w:tc>
        <w:tc>
          <w:tcPr>
            <w:tcW w:w="3552" w:type="dxa"/>
            <w:gridSpan w:val="3"/>
            <w:tcBorders>
              <w:top w:val="single" w:sz="4" w:space="0" w:color="000000"/>
              <w:left w:val="single" w:sz="4" w:space="0" w:color="000000"/>
              <w:bottom w:val="single" w:sz="4" w:space="0" w:color="000000"/>
              <w:right w:val="single" w:sz="4" w:space="0" w:color="000000"/>
            </w:tcBorders>
            <w:vAlign w:val="center"/>
          </w:tcPr>
          <w:p w14:paraId="3C911970" w14:textId="77777777" w:rsidR="00EA37BF" w:rsidRPr="004C0798" w:rsidRDefault="00EA37BF" w:rsidP="00861438">
            <w:pPr>
              <w:spacing w:after="120" w:line="240" w:lineRule="auto"/>
              <w:jc w:val="center"/>
              <w:rPr>
                <w:rFonts w:asciiTheme="majorHAnsi" w:hAnsiTheme="majorHAnsi" w:cstheme="majorHAnsi"/>
                <w:color w:val="808080" w:themeColor="background1" w:themeShade="80"/>
                <w:sz w:val="20"/>
                <w:szCs w:val="20"/>
              </w:rPr>
            </w:pPr>
          </w:p>
        </w:tc>
      </w:tr>
    </w:tbl>
    <w:p w14:paraId="2CB4C5D9" w14:textId="77777777" w:rsidR="00EA37BF" w:rsidRPr="004C0798" w:rsidRDefault="00EA37BF" w:rsidP="00EA37BF">
      <w:pPr>
        <w:spacing w:after="120" w:line="240" w:lineRule="auto"/>
        <w:rPr>
          <w:rFonts w:asciiTheme="majorHAnsi" w:hAnsiTheme="majorHAnsi" w:cstheme="majorHAnsi"/>
          <w:color w:val="808080" w:themeColor="background1" w:themeShade="80"/>
          <w:sz w:val="20"/>
          <w:szCs w:val="20"/>
        </w:rPr>
        <w:sectPr w:rsidR="00EA37BF" w:rsidRPr="004C0798" w:rsidSect="004C0798">
          <w:headerReference w:type="even" r:id="rId32"/>
          <w:headerReference w:type="default" r:id="rId33"/>
          <w:footerReference w:type="even" r:id="rId34"/>
          <w:footerReference w:type="default" r:id="rId35"/>
          <w:headerReference w:type="first" r:id="rId36"/>
          <w:footerReference w:type="first" r:id="rId37"/>
          <w:pgSz w:w="11906" w:h="16838" w:code="9"/>
          <w:pgMar w:top="567" w:right="1134" w:bottom="567" w:left="1134" w:header="567" w:footer="567" w:gutter="0"/>
          <w:cols w:space="708"/>
        </w:sectPr>
      </w:pPr>
    </w:p>
    <w:p w14:paraId="2E16F059" w14:textId="77777777" w:rsidR="00EA37BF" w:rsidRPr="004C0798" w:rsidRDefault="00EA37BF" w:rsidP="00EA37BF">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lastRenderedPageBreak/>
        <w:t>[</w:t>
      </w:r>
      <w:proofErr w:type="spellStart"/>
      <w:r w:rsidRPr="004C0798">
        <w:rPr>
          <w:rFonts w:asciiTheme="majorHAnsi" w:hAnsiTheme="majorHAnsi" w:cstheme="majorHAnsi"/>
          <w:i/>
          <w:color w:val="808080" w:themeColor="background1" w:themeShade="80"/>
          <w:sz w:val="20"/>
          <w:szCs w:val="20"/>
        </w:rPr>
        <w:t>Appendix</w:t>
      </w:r>
      <w:proofErr w:type="spellEnd"/>
      <w:r w:rsidRPr="004C0798">
        <w:rPr>
          <w:rFonts w:asciiTheme="majorHAnsi" w:hAnsiTheme="majorHAnsi" w:cstheme="majorHAnsi"/>
          <w:i/>
          <w:color w:val="808080" w:themeColor="background1" w:themeShade="80"/>
          <w:sz w:val="20"/>
          <w:szCs w:val="20"/>
        </w:rPr>
        <w:t xml:space="preserve"> 3: </w:t>
      </w:r>
      <w:proofErr w:type="spellStart"/>
      <w:r w:rsidRPr="004C0798">
        <w:rPr>
          <w:rFonts w:asciiTheme="majorHAnsi" w:hAnsiTheme="majorHAnsi" w:cstheme="majorHAnsi"/>
          <w:i/>
          <w:color w:val="808080" w:themeColor="background1" w:themeShade="80"/>
          <w:sz w:val="20"/>
          <w:szCs w:val="20"/>
        </w:rPr>
        <w:t>Thematic</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Facility</w:t>
      </w:r>
      <w:proofErr w:type="spellEnd"/>
      <w:r w:rsidRPr="004C0798">
        <w:rPr>
          <w:rFonts w:asciiTheme="majorHAnsi" w:hAnsiTheme="majorHAnsi" w:cstheme="majorHAnsi"/>
          <w:i/>
          <w:color w:val="808080" w:themeColor="background1" w:themeShade="80"/>
          <w:sz w:val="20"/>
          <w:szCs w:val="20"/>
        </w:rPr>
        <w:t>]</w:t>
      </w:r>
      <w:r w:rsidRPr="004C0798">
        <w:rPr>
          <w:rFonts w:asciiTheme="majorHAnsi" w:hAnsiTheme="majorHAnsi" w:cstheme="majorHAnsi"/>
          <w:i/>
          <w:color w:val="808080" w:themeColor="background1" w:themeShade="80"/>
          <w:sz w:val="20"/>
          <w:szCs w:val="20"/>
          <w:vertAlign w:val="superscript"/>
        </w:rPr>
        <w:footnoteReference w:id="18"/>
      </w:r>
    </w:p>
    <w:tbl>
      <w:tblPr>
        <w:tblW w:w="1003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4"/>
        <w:gridCol w:w="3578"/>
        <w:gridCol w:w="60"/>
        <w:gridCol w:w="2403"/>
        <w:gridCol w:w="1566"/>
      </w:tblGrid>
      <w:tr w:rsidR="00EA37BF" w:rsidRPr="004C0798" w14:paraId="7F1A9865" w14:textId="77777777" w:rsidTr="00861438">
        <w:tc>
          <w:tcPr>
            <w:tcW w:w="2424" w:type="dxa"/>
            <w:tcMar>
              <w:top w:w="0" w:type="dxa"/>
              <w:left w:w="108" w:type="dxa"/>
              <w:bottom w:w="0" w:type="dxa"/>
              <w:right w:w="108" w:type="dxa"/>
            </w:tcMar>
          </w:tcPr>
          <w:p w14:paraId="410F49FE"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Procedure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reference</w:t>
            </w:r>
            <w:proofErr w:type="spellEnd"/>
            <w:r w:rsidRPr="004C0798">
              <w:rPr>
                <w:rFonts w:asciiTheme="majorHAnsi" w:hAnsiTheme="majorHAnsi" w:cstheme="majorHAnsi"/>
                <w:i/>
                <w:color w:val="808080" w:themeColor="background1" w:themeShade="80"/>
                <w:sz w:val="20"/>
                <w:szCs w:val="20"/>
              </w:rPr>
              <w:t xml:space="preserve"> / Specific </w:t>
            </w:r>
            <w:proofErr w:type="spellStart"/>
            <w:r w:rsidRPr="004C0798">
              <w:rPr>
                <w:rFonts w:asciiTheme="majorHAnsi" w:hAnsiTheme="majorHAnsi" w:cstheme="majorHAnsi"/>
                <w:i/>
                <w:color w:val="808080" w:themeColor="background1" w:themeShade="80"/>
                <w:sz w:val="20"/>
                <w:szCs w:val="20"/>
              </w:rPr>
              <w:t>objective</w:t>
            </w:r>
            <w:proofErr w:type="spellEnd"/>
          </w:p>
        </w:tc>
        <w:tc>
          <w:tcPr>
            <w:tcW w:w="3578" w:type="dxa"/>
            <w:tcMar>
              <w:top w:w="0" w:type="dxa"/>
              <w:left w:w="108" w:type="dxa"/>
              <w:bottom w:w="0" w:type="dxa"/>
              <w:right w:w="108" w:type="dxa"/>
            </w:tcMar>
          </w:tcPr>
          <w:p w14:paraId="02966FF1"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Modality</w:t>
            </w:r>
            <w:proofErr w:type="spellEnd"/>
            <w:r w:rsidRPr="004C0798">
              <w:rPr>
                <w:rFonts w:asciiTheme="majorHAnsi" w:hAnsiTheme="majorHAnsi" w:cstheme="majorHAnsi"/>
                <w:i/>
                <w:color w:val="808080" w:themeColor="background1" w:themeShade="80"/>
                <w:sz w:val="20"/>
                <w:szCs w:val="20"/>
              </w:rPr>
              <w:t xml:space="preserve">: Specific </w:t>
            </w:r>
            <w:proofErr w:type="spellStart"/>
            <w:r w:rsidRPr="004C0798">
              <w:rPr>
                <w:rFonts w:asciiTheme="majorHAnsi" w:hAnsiTheme="majorHAnsi" w:cstheme="majorHAnsi"/>
                <w:i/>
                <w:color w:val="808080" w:themeColor="background1" w:themeShade="80"/>
                <w:sz w:val="20"/>
                <w:szCs w:val="20"/>
              </w:rPr>
              <w:t>action</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emergency</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assistance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resettlement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support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Member</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States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contributing</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to</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solidarity</w:t>
            </w:r>
            <w:proofErr w:type="spellEnd"/>
            <w:r w:rsidRPr="004C0798">
              <w:rPr>
                <w:rFonts w:asciiTheme="majorHAnsi" w:hAnsiTheme="majorHAnsi" w:cstheme="majorHAnsi"/>
                <w:i/>
                <w:color w:val="808080" w:themeColor="background1" w:themeShade="80"/>
                <w:sz w:val="20"/>
                <w:szCs w:val="20"/>
              </w:rPr>
              <w:t xml:space="preserve"> </w:t>
            </w:r>
          </w:p>
        </w:tc>
        <w:tc>
          <w:tcPr>
            <w:tcW w:w="2463" w:type="dxa"/>
            <w:gridSpan w:val="2"/>
            <w:tcMar>
              <w:top w:w="0" w:type="dxa"/>
              <w:left w:w="108" w:type="dxa"/>
              <w:bottom w:w="0" w:type="dxa"/>
              <w:right w:w="108" w:type="dxa"/>
            </w:tcMar>
          </w:tcPr>
          <w:p w14:paraId="60511BC8"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Type</w:t>
            </w:r>
            <w:proofErr w:type="spellEnd"/>
            <w:r w:rsidRPr="004C0798">
              <w:rPr>
                <w:rFonts w:asciiTheme="majorHAnsi" w:hAnsiTheme="majorHAnsi" w:cstheme="majorHAnsi"/>
                <w:i/>
                <w:color w:val="808080" w:themeColor="background1" w:themeShade="80"/>
                <w:sz w:val="20"/>
                <w:szCs w:val="20"/>
              </w:rPr>
              <w:t xml:space="preserve"> of </w:t>
            </w:r>
            <w:proofErr w:type="spellStart"/>
            <w:r w:rsidRPr="004C0798">
              <w:rPr>
                <w:rFonts w:asciiTheme="majorHAnsi" w:hAnsiTheme="majorHAnsi" w:cstheme="majorHAnsi"/>
                <w:i/>
                <w:color w:val="808080" w:themeColor="background1" w:themeShade="80"/>
                <w:sz w:val="20"/>
                <w:szCs w:val="20"/>
              </w:rPr>
              <w:t>intervention</w:t>
            </w:r>
            <w:proofErr w:type="spellEnd"/>
            <w:r w:rsidRPr="004C0798">
              <w:rPr>
                <w:rFonts w:asciiTheme="majorHAnsi" w:hAnsiTheme="majorHAnsi" w:cstheme="majorHAnsi"/>
                <w:i/>
                <w:color w:val="808080" w:themeColor="background1" w:themeShade="80"/>
                <w:sz w:val="20"/>
                <w:szCs w:val="20"/>
              </w:rPr>
              <w:t xml:space="preserve"> </w:t>
            </w:r>
          </w:p>
        </w:tc>
        <w:tc>
          <w:tcPr>
            <w:tcW w:w="1566" w:type="dxa"/>
            <w:tcMar>
              <w:top w:w="0" w:type="dxa"/>
              <w:left w:w="108" w:type="dxa"/>
              <w:bottom w:w="0" w:type="dxa"/>
              <w:right w:w="108" w:type="dxa"/>
            </w:tcMar>
          </w:tcPr>
          <w:p w14:paraId="22A3C072"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 xml:space="preserve">EU </w:t>
            </w:r>
            <w:proofErr w:type="spellStart"/>
            <w:r w:rsidRPr="004C0798">
              <w:rPr>
                <w:rFonts w:asciiTheme="majorHAnsi" w:hAnsiTheme="majorHAnsi" w:cstheme="majorHAnsi"/>
                <w:i/>
                <w:color w:val="808080" w:themeColor="background1" w:themeShade="80"/>
                <w:sz w:val="20"/>
                <w:szCs w:val="20"/>
              </w:rPr>
              <w:t>contribution</w:t>
            </w:r>
            <w:proofErr w:type="spellEnd"/>
            <w:r w:rsidRPr="004C0798">
              <w:rPr>
                <w:rFonts w:asciiTheme="majorHAnsi" w:hAnsiTheme="majorHAnsi" w:cstheme="majorHAnsi"/>
                <w:i/>
                <w:color w:val="808080" w:themeColor="background1" w:themeShade="80"/>
                <w:sz w:val="20"/>
                <w:szCs w:val="20"/>
              </w:rPr>
              <w:t xml:space="preserve"> (EUR) </w:t>
            </w:r>
          </w:p>
        </w:tc>
      </w:tr>
      <w:tr w:rsidR="00EA37BF" w:rsidRPr="004C0798" w14:paraId="026889EC" w14:textId="77777777" w:rsidTr="00861438">
        <w:tc>
          <w:tcPr>
            <w:tcW w:w="2424" w:type="dxa"/>
            <w:tcMar>
              <w:top w:w="0" w:type="dxa"/>
              <w:left w:w="108" w:type="dxa"/>
              <w:bottom w:w="0" w:type="dxa"/>
              <w:right w:w="108" w:type="dxa"/>
            </w:tcMar>
          </w:tcPr>
          <w:p w14:paraId="3A5569BB"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&lt;</w:t>
            </w:r>
            <w:proofErr w:type="spellStart"/>
            <w:r w:rsidRPr="004C0798">
              <w:rPr>
                <w:rFonts w:asciiTheme="majorHAnsi" w:hAnsiTheme="majorHAnsi" w:cstheme="majorHAnsi"/>
                <w:i/>
                <w:color w:val="808080" w:themeColor="background1" w:themeShade="80"/>
                <w:sz w:val="20"/>
                <w:szCs w:val="20"/>
              </w:rPr>
              <w:t>type</w:t>
            </w:r>
            <w:proofErr w:type="spellEnd"/>
            <w:r w:rsidRPr="004C0798">
              <w:rPr>
                <w:rFonts w:asciiTheme="majorHAnsi" w:hAnsiTheme="majorHAnsi" w:cstheme="majorHAnsi"/>
                <w:i/>
                <w:color w:val="808080" w:themeColor="background1" w:themeShade="80"/>
                <w:sz w:val="20"/>
                <w:szCs w:val="20"/>
              </w:rPr>
              <w:t>='N' input='M'&gt;</w:t>
            </w:r>
          </w:p>
        </w:tc>
        <w:tc>
          <w:tcPr>
            <w:tcW w:w="3578" w:type="dxa"/>
            <w:tcMar>
              <w:top w:w="0" w:type="dxa"/>
              <w:left w:w="108" w:type="dxa"/>
              <w:bottom w:w="0" w:type="dxa"/>
              <w:right w:w="108" w:type="dxa"/>
            </w:tcMar>
          </w:tcPr>
          <w:p w14:paraId="79C5FB54"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&lt;</w:t>
            </w:r>
            <w:proofErr w:type="spellStart"/>
            <w:r w:rsidRPr="004C0798">
              <w:rPr>
                <w:rFonts w:asciiTheme="majorHAnsi" w:hAnsiTheme="majorHAnsi" w:cstheme="majorHAnsi"/>
                <w:i/>
                <w:color w:val="808080" w:themeColor="background1" w:themeShade="80"/>
                <w:sz w:val="20"/>
                <w:szCs w:val="20"/>
              </w:rPr>
              <w:t>type</w:t>
            </w:r>
            <w:proofErr w:type="spellEnd"/>
            <w:r w:rsidRPr="004C0798">
              <w:rPr>
                <w:rFonts w:asciiTheme="majorHAnsi" w:hAnsiTheme="majorHAnsi" w:cstheme="majorHAnsi"/>
                <w:i/>
                <w:color w:val="808080" w:themeColor="background1" w:themeShade="80"/>
                <w:sz w:val="20"/>
                <w:szCs w:val="20"/>
              </w:rPr>
              <w:t>='S’ input='S'&gt;</w:t>
            </w:r>
          </w:p>
        </w:tc>
        <w:tc>
          <w:tcPr>
            <w:tcW w:w="2463" w:type="dxa"/>
            <w:gridSpan w:val="2"/>
            <w:tcMar>
              <w:top w:w="0" w:type="dxa"/>
              <w:left w:w="108" w:type="dxa"/>
              <w:bottom w:w="0" w:type="dxa"/>
              <w:right w:w="108" w:type="dxa"/>
            </w:tcMar>
          </w:tcPr>
          <w:p w14:paraId="3B47C1E6"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&lt;</w:t>
            </w:r>
            <w:proofErr w:type="spellStart"/>
            <w:r w:rsidRPr="004C0798">
              <w:rPr>
                <w:rFonts w:asciiTheme="majorHAnsi" w:hAnsiTheme="majorHAnsi" w:cstheme="majorHAnsi"/>
                <w:i/>
                <w:color w:val="808080" w:themeColor="background1" w:themeShade="80"/>
                <w:sz w:val="20"/>
                <w:szCs w:val="20"/>
              </w:rPr>
              <w:t>type</w:t>
            </w:r>
            <w:proofErr w:type="spellEnd"/>
            <w:r w:rsidRPr="004C0798">
              <w:rPr>
                <w:rFonts w:asciiTheme="majorHAnsi" w:hAnsiTheme="majorHAnsi" w:cstheme="majorHAnsi"/>
                <w:i/>
                <w:color w:val="808080" w:themeColor="background1" w:themeShade="80"/>
                <w:sz w:val="20"/>
                <w:szCs w:val="20"/>
              </w:rPr>
              <w:t>='S’ input='S'&gt;</w:t>
            </w:r>
          </w:p>
        </w:tc>
        <w:tc>
          <w:tcPr>
            <w:tcW w:w="1566" w:type="dxa"/>
            <w:tcMar>
              <w:top w:w="0" w:type="dxa"/>
              <w:left w:w="108" w:type="dxa"/>
              <w:bottom w:w="0" w:type="dxa"/>
              <w:right w:w="108" w:type="dxa"/>
            </w:tcMar>
          </w:tcPr>
          <w:p w14:paraId="4AE65C1C"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&lt;</w:t>
            </w:r>
            <w:proofErr w:type="spellStart"/>
            <w:r w:rsidRPr="004C0798">
              <w:rPr>
                <w:rFonts w:asciiTheme="majorHAnsi" w:hAnsiTheme="majorHAnsi" w:cstheme="majorHAnsi"/>
                <w:i/>
                <w:color w:val="808080" w:themeColor="background1" w:themeShade="80"/>
                <w:sz w:val="20"/>
                <w:szCs w:val="20"/>
              </w:rPr>
              <w:t>type</w:t>
            </w:r>
            <w:proofErr w:type="spellEnd"/>
            <w:r w:rsidRPr="004C0798">
              <w:rPr>
                <w:rFonts w:asciiTheme="majorHAnsi" w:hAnsiTheme="majorHAnsi" w:cstheme="majorHAnsi"/>
                <w:i/>
                <w:color w:val="808080" w:themeColor="background1" w:themeShade="80"/>
                <w:sz w:val="20"/>
                <w:szCs w:val="20"/>
              </w:rPr>
              <w:t>='N' input='M'&gt;</w:t>
            </w:r>
          </w:p>
        </w:tc>
      </w:tr>
      <w:tr w:rsidR="00EA37BF" w:rsidRPr="004C0798" w14:paraId="1D65E782" w14:textId="77777777" w:rsidTr="00861438">
        <w:tc>
          <w:tcPr>
            <w:tcW w:w="2424" w:type="dxa"/>
            <w:tcMar>
              <w:top w:w="0" w:type="dxa"/>
              <w:left w:w="108" w:type="dxa"/>
              <w:bottom w:w="0" w:type="dxa"/>
              <w:right w:w="108" w:type="dxa"/>
            </w:tcMar>
          </w:tcPr>
          <w:p w14:paraId="7F7FDDD9"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Description</w:t>
            </w:r>
            <w:proofErr w:type="spellEnd"/>
            <w:r w:rsidRPr="004C0798">
              <w:rPr>
                <w:rFonts w:asciiTheme="majorHAnsi" w:hAnsiTheme="majorHAnsi" w:cstheme="majorHAnsi"/>
                <w:i/>
                <w:color w:val="808080" w:themeColor="background1" w:themeShade="80"/>
                <w:sz w:val="20"/>
                <w:szCs w:val="20"/>
              </w:rPr>
              <w:t xml:space="preserve"> of the </w:t>
            </w:r>
            <w:proofErr w:type="spellStart"/>
            <w:r w:rsidRPr="004C0798">
              <w:rPr>
                <w:rFonts w:asciiTheme="majorHAnsi" w:hAnsiTheme="majorHAnsi" w:cstheme="majorHAnsi"/>
                <w:i/>
                <w:color w:val="808080" w:themeColor="background1" w:themeShade="80"/>
                <w:sz w:val="20"/>
                <w:szCs w:val="20"/>
              </w:rPr>
              <w:t>action</w:t>
            </w:r>
            <w:proofErr w:type="spellEnd"/>
          </w:p>
        </w:tc>
        <w:tc>
          <w:tcPr>
            <w:tcW w:w="7607" w:type="dxa"/>
            <w:gridSpan w:val="4"/>
            <w:tcMar>
              <w:top w:w="0" w:type="dxa"/>
              <w:left w:w="108" w:type="dxa"/>
              <w:bottom w:w="0" w:type="dxa"/>
              <w:right w:w="108" w:type="dxa"/>
            </w:tcMar>
          </w:tcPr>
          <w:p w14:paraId="676EDA19"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[text]</w:t>
            </w:r>
          </w:p>
          <w:p w14:paraId="22B1E333"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r>
      <w:tr w:rsidR="00EA37BF" w:rsidRPr="004C0798" w14:paraId="46EECB56" w14:textId="77777777" w:rsidTr="00861438">
        <w:tc>
          <w:tcPr>
            <w:tcW w:w="6062" w:type="dxa"/>
            <w:gridSpan w:val="3"/>
            <w:tcMar>
              <w:top w:w="0" w:type="dxa"/>
              <w:left w:w="108" w:type="dxa"/>
              <w:bottom w:w="0" w:type="dxa"/>
              <w:right w:w="108" w:type="dxa"/>
            </w:tcMar>
          </w:tcPr>
          <w:p w14:paraId="696F20BE"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Member</w:t>
            </w:r>
            <w:proofErr w:type="spellEnd"/>
            <w:r w:rsidRPr="004C0798">
              <w:rPr>
                <w:rFonts w:asciiTheme="majorHAnsi" w:hAnsiTheme="majorHAnsi" w:cstheme="majorHAnsi"/>
                <w:i/>
                <w:color w:val="808080" w:themeColor="background1" w:themeShade="80"/>
                <w:sz w:val="20"/>
                <w:szCs w:val="20"/>
              </w:rPr>
              <w:t xml:space="preserve"> State </w:t>
            </w:r>
            <w:proofErr w:type="spellStart"/>
            <w:r w:rsidRPr="004C0798">
              <w:rPr>
                <w:rFonts w:asciiTheme="majorHAnsi" w:hAnsiTheme="majorHAnsi" w:cstheme="majorHAnsi"/>
                <w:i/>
                <w:color w:val="808080" w:themeColor="background1" w:themeShade="80"/>
                <w:sz w:val="20"/>
                <w:szCs w:val="20"/>
              </w:rPr>
              <w:t>submits</w:t>
            </w:r>
            <w:proofErr w:type="spellEnd"/>
            <w:r w:rsidRPr="004C0798">
              <w:rPr>
                <w:rFonts w:asciiTheme="majorHAnsi" w:hAnsiTheme="majorHAnsi" w:cstheme="majorHAnsi"/>
                <w:i/>
                <w:color w:val="808080" w:themeColor="background1" w:themeShade="80"/>
                <w:sz w:val="20"/>
                <w:szCs w:val="20"/>
              </w:rPr>
              <w:t xml:space="preserve"> a </w:t>
            </w:r>
            <w:proofErr w:type="spellStart"/>
            <w:r w:rsidRPr="004C0798">
              <w:rPr>
                <w:rFonts w:asciiTheme="majorHAnsi" w:hAnsiTheme="majorHAnsi" w:cstheme="majorHAnsi"/>
                <w:i/>
                <w:color w:val="808080" w:themeColor="background1" w:themeShade="80"/>
                <w:sz w:val="20"/>
                <w:szCs w:val="20"/>
              </w:rPr>
              <w:t>thematic</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facility</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amendment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declines</w:t>
            </w:r>
            <w:proofErr w:type="spellEnd"/>
            <w:r w:rsidRPr="004C0798">
              <w:rPr>
                <w:rFonts w:asciiTheme="majorHAnsi" w:hAnsiTheme="majorHAnsi" w:cstheme="majorHAnsi"/>
                <w:i/>
                <w:color w:val="808080" w:themeColor="background1" w:themeShade="80"/>
                <w:sz w:val="20"/>
                <w:szCs w:val="20"/>
              </w:rPr>
              <w:t xml:space="preserve">    </w:t>
            </w:r>
          </w:p>
          <w:p w14:paraId="674813E7"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c>
          <w:tcPr>
            <w:tcW w:w="3969" w:type="dxa"/>
            <w:gridSpan w:val="2"/>
            <w:tcMar>
              <w:top w:w="0" w:type="dxa"/>
              <w:left w:w="108" w:type="dxa"/>
              <w:bottom w:w="0" w:type="dxa"/>
              <w:right w:w="108" w:type="dxa"/>
            </w:tcMar>
          </w:tcPr>
          <w:p w14:paraId="533080EC"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Date: &lt;</w:t>
            </w:r>
            <w:proofErr w:type="spellStart"/>
            <w:r w:rsidRPr="004C0798">
              <w:rPr>
                <w:rFonts w:asciiTheme="majorHAnsi" w:hAnsiTheme="majorHAnsi" w:cstheme="majorHAnsi"/>
                <w:i/>
                <w:color w:val="808080" w:themeColor="background1" w:themeShade="80"/>
                <w:sz w:val="20"/>
                <w:szCs w:val="20"/>
              </w:rPr>
              <w:t>type</w:t>
            </w:r>
            <w:proofErr w:type="spellEnd"/>
            <w:r w:rsidRPr="004C0798">
              <w:rPr>
                <w:rFonts w:asciiTheme="majorHAnsi" w:hAnsiTheme="majorHAnsi" w:cstheme="majorHAnsi"/>
                <w:i/>
                <w:color w:val="808080" w:themeColor="background1" w:themeShade="80"/>
                <w:sz w:val="20"/>
                <w:szCs w:val="20"/>
              </w:rPr>
              <w:t>='N' input='M'&gt;</w:t>
            </w:r>
          </w:p>
          <w:p w14:paraId="06CECF2E"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roofErr w:type="spellStart"/>
            <w:r w:rsidRPr="004C0798">
              <w:rPr>
                <w:rFonts w:asciiTheme="majorHAnsi" w:hAnsiTheme="majorHAnsi" w:cstheme="majorHAnsi"/>
                <w:i/>
                <w:color w:val="808080" w:themeColor="background1" w:themeShade="80"/>
                <w:sz w:val="20"/>
                <w:szCs w:val="20"/>
              </w:rPr>
              <w:t>Submit</w:t>
            </w:r>
            <w:proofErr w:type="spellEnd"/>
            <w:r w:rsidRPr="004C0798">
              <w:rPr>
                <w:rFonts w:asciiTheme="majorHAnsi" w:hAnsiTheme="majorHAnsi" w:cstheme="majorHAnsi"/>
                <w:i/>
                <w:color w:val="808080" w:themeColor="background1" w:themeShade="80"/>
                <w:sz w:val="20"/>
                <w:szCs w:val="20"/>
              </w:rPr>
              <w:t>/Decline: &lt;</w:t>
            </w:r>
            <w:proofErr w:type="spellStart"/>
            <w:r w:rsidRPr="004C0798">
              <w:rPr>
                <w:rFonts w:asciiTheme="majorHAnsi" w:hAnsiTheme="majorHAnsi" w:cstheme="majorHAnsi"/>
                <w:i/>
                <w:color w:val="808080" w:themeColor="background1" w:themeShade="80"/>
                <w:sz w:val="20"/>
                <w:szCs w:val="20"/>
              </w:rPr>
              <w:t>type</w:t>
            </w:r>
            <w:proofErr w:type="spellEnd"/>
            <w:r w:rsidRPr="004C0798">
              <w:rPr>
                <w:rFonts w:asciiTheme="majorHAnsi" w:hAnsiTheme="majorHAnsi" w:cstheme="majorHAnsi"/>
                <w:i/>
                <w:color w:val="808080" w:themeColor="background1" w:themeShade="80"/>
                <w:sz w:val="20"/>
                <w:szCs w:val="20"/>
              </w:rPr>
              <w:t>='S’ input='S'&gt;</w:t>
            </w:r>
          </w:p>
        </w:tc>
      </w:tr>
      <w:tr w:rsidR="00EA37BF" w:rsidRPr="004C0798" w14:paraId="284A2FA0" w14:textId="77777777" w:rsidTr="00861438">
        <w:trPr>
          <w:trHeight w:val="1265"/>
        </w:trPr>
        <w:tc>
          <w:tcPr>
            <w:tcW w:w="6062" w:type="dxa"/>
            <w:gridSpan w:val="3"/>
            <w:tcMar>
              <w:top w:w="0" w:type="dxa"/>
              <w:left w:w="108" w:type="dxa"/>
              <w:bottom w:w="0" w:type="dxa"/>
              <w:right w:w="108" w:type="dxa"/>
            </w:tcMar>
          </w:tcPr>
          <w:p w14:paraId="51FB81DA"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Comment  (</w:t>
            </w:r>
            <w:proofErr w:type="spellStart"/>
            <w:r w:rsidRPr="004C0798">
              <w:rPr>
                <w:rFonts w:asciiTheme="majorHAnsi" w:hAnsiTheme="majorHAnsi" w:cstheme="majorHAnsi"/>
                <w:i/>
                <w:color w:val="808080" w:themeColor="background1" w:themeShade="80"/>
                <w:sz w:val="20"/>
                <w:szCs w:val="20"/>
              </w:rPr>
              <w:t>if</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Member</w:t>
            </w:r>
            <w:proofErr w:type="spellEnd"/>
            <w:r w:rsidRPr="004C0798">
              <w:rPr>
                <w:rFonts w:asciiTheme="majorHAnsi" w:hAnsiTheme="majorHAnsi" w:cstheme="majorHAnsi"/>
                <w:i/>
                <w:color w:val="808080" w:themeColor="background1" w:themeShade="80"/>
                <w:sz w:val="20"/>
                <w:szCs w:val="20"/>
              </w:rPr>
              <w:t xml:space="preserve"> State </w:t>
            </w:r>
            <w:proofErr w:type="spellStart"/>
            <w:r w:rsidRPr="004C0798">
              <w:rPr>
                <w:rFonts w:asciiTheme="majorHAnsi" w:hAnsiTheme="majorHAnsi" w:cstheme="majorHAnsi"/>
                <w:i/>
                <w:color w:val="808080" w:themeColor="background1" w:themeShade="80"/>
                <w:sz w:val="20"/>
                <w:szCs w:val="20"/>
              </w:rPr>
              <w:t>declines</w:t>
            </w:r>
            <w:proofErr w:type="spellEnd"/>
            <w:r w:rsidRPr="004C0798">
              <w:rPr>
                <w:rFonts w:asciiTheme="majorHAnsi" w:hAnsiTheme="majorHAnsi" w:cstheme="majorHAnsi"/>
                <w:i/>
                <w:color w:val="808080" w:themeColor="background1" w:themeShade="80"/>
                <w:sz w:val="20"/>
                <w:szCs w:val="20"/>
              </w:rPr>
              <w:t xml:space="preserve"> or </w:t>
            </w:r>
            <w:proofErr w:type="spellStart"/>
            <w:r w:rsidRPr="004C0798">
              <w:rPr>
                <w:rFonts w:asciiTheme="majorHAnsi" w:hAnsiTheme="majorHAnsi" w:cstheme="majorHAnsi"/>
                <w:i/>
                <w:color w:val="808080" w:themeColor="background1" w:themeShade="80"/>
                <w:sz w:val="20"/>
                <w:szCs w:val="20"/>
              </w:rPr>
              <w:t>if</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indicators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targets</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and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millstones</w:t>
            </w:r>
            <w:proofErr w:type="spellEnd"/>
            <w:r w:rsidRPr="004C0798">
              <w:rPr>
                <w:rFonts w:asciiTheme="majorHAnsi" w:hAnsiTheme="majorHAnsi" w:cstheme="majorHAnsi"/>
                <w:i/>
                <w:color w:val="808080" w:themeColor="background1" w:themeShade="80"/>
                <w:sz w:val="20"/>
                <w:szCs w:val="20"/>
              </w:rPr>
              <w:t xml:space="preserve"> are </w:t>
            </w:r>
            <w:proofErr w:type="spellStart"/>
            <w:r w:rsidRPr="004C0798">
              <w:rPr>
                <w:rFonts w:asciiTheme="majorHAnsi" w:hAnsiTheme="majorHAnsi" w:cstheme="majorHAnsi"/>
                <w:i/>
                <w:color w:val="808080" w:themeColor="background1" w:themeShade="80"/>
                <w:sz w:val="20"/>
                <w:szCs w:val="20"/>
              </w:rPr>
              <w:t>not</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updated</w:t>
            </w:r>
            <w:proofErr w:type="spellEnd"/>
            <w:r w:rsidRPr="004C0798">
              <w:rPr>
                <w:rFonts w:asciiTheme="majorHAnsi" w:hAnsiTheme="majorHAnsi" w:cstheme="majorHAnsi"/>
                <w:i/>
                <w:color w:val="808080" w:themeColor="background1" w:themeShade="80"/>
                <w:sz w:val="20"/>
                <w:szCs w:val="20"/>
              </w:rPr>
              <w:t xml:space="preserve"> a </w:t>
            </w:r>
            <w:proofErr w:type="spellStart"/>
            <w:r w:rsidRPr="004C0798">
              <w:rPr>
                <w:rFonts w:asciiTheme="majorHAnsi" w:hAnsiTheme="majorHAnsi" w:cstheme="majorHAnsi"/>
                <w:i/>
                <w:color w:val="808080" w:themeColor="background1" w:themeShade="80"/>
                <w:sz w:val="20"/>
                <w:szCs w:val="20"/>
              </w:rPr>
              <w:t>justification</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should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be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encoded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tables</w:t>
            </w:r>
            <w:proofErr w:type="spellEnd"/>
            <w:r w:rsidRPr="004C0798">
              <w:rPr>
                <w:rFonts w:asciiTheme="majorHAnsi" w:hAnsiTheme="majorHAnsi" w:cstheme="majorHAnsi"/>
                <w:i/>
                <w:color w:val="808080" w:themeColor="background1" w:themeShade="80"/>
                <w:sz w:val="20"/>
                <w:szCs w:val="20"/>
              </w:rPr>
              <w:t xml:space="preserve"> 3, 5 </w:t>
            </w:r>
            <w:proofErr w:type="spellStart"/>
            <w:r w:rsidRPr="004C0798">
              <w:rPr>
                <w:rFonts w:asciiTheme="majorHAnsi" w:hAnsiTheme="majorHAnsi" w:cstheme="majorHAnsi"/>
                <w:i/>
                <w:color w:val="808080" w:themeColor="background1" w:themeShade="80"/>
                <w:sz w:val="20"/>
                <w:szCs w:val="20"/>
              </w:rPr>
              <w:t>and</w:t>
            </w:r>
            <w:proofErr w:type="spellEnd"/>
            <w:r w:rsidRPr="004C0798">
              <w:rPr>
                <w:rFonts w:asciiTheme="majorHAnsi" w:hAnsiTheme="majorHAnsi" w:cstheme="majorHAnsi"/>
                <w:i/>
                <w:color w:val="808080" w:themeColor="background1" w:themeShade="80"/>
                <w:sz w:val="20"/>
                <w:szCs w:val="20"/>
              </w:rPr>
              <w:t xml:space="preserve"> 6 </w:t>
            </w:r>
            <w:proofErr w:type="spellStart"/>
            <w:r w:rsidRPr="004C0798">
              <w:rPr>
                <w:rFonts w:asciiTheme="majorHAnsi" w:hAnsiTheme="majorHAnsi" w:cstheme="majorHAnsi"/>
                <w:i/>
                <w:color w:val="808080" w:themeColor="background1" w:themeShade="80"/>
                <w:sz w:val="20"/>
                <w:szCs w:val="20"/>
              </w:rPr>
              <w:t>should</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be</w:t>
            </w:r>
            <w:proofErr w:type="spellEnd"/>
            <w:r w:rsidRPr="004C0798">
              <w:rPr>
                <w:rFonts w:asciiTheme="majorHAnsi" w:hAnsiTheme="majorHAnsi" w:cstheme="majorHAnsi"/>
                <w:i/>
                <w:color w:val="808080" w:themeColor="background1" w:themeShade="80"/>
                <w:sz w:val="20"/>
                <w:szCs w:val="20"/>
              </w:rPr>
              <w:t xml:space="preserve"> </w:t>
            </w:r>
            <w:proofErr w:type="spellStart"/>
            <w:r w:rsidRPr="004C0798">
              <w:rPr>
                <w:rFonts w:asciiTheme="majorHAnsi" w:hAnsiTheme="majorHAnsi" w:cstheme="majorHAnsi"/>
                <w:i/>
                <w:color w:val="808080" w:themeColor="background1" w:themeShade="80"/>
                <w:sz w:val="20"/>
                <w:szCs w:val="20"/>
              </w:rPr>
              <w:t>revised</w:t>
            </w:r>
            <w:proofErr w:type="spellEnd"/>
            <w:r w:rsidRPr="004C0798">
              <w:rPr>
                <w:rFonts w:asciiTheme="majorHAnsi" w:hAnsiTheme="majorHAnsi" w:cstheme="majorHAnsi"/>
                <w:i/>
                <w:color w:val="808080" w:themeColor="background1" w:themeShade="80"/>
                <w:sz w:val="20"/>
                <w:szCs w:val="20"/>
              </w:rPr>
              <w:t>)</w:t>
            </w:r>
          </w:p>
        </w:tc>
        <w:tc>
          <w:tcPr>
            <w:tcW w:w="3969" w:type="dxa"/>
            <w:gridSpan w:val="2"/>
            <w:tcMar>
              <w:top w:w="0" w:type="dxa"/>
              <w:left w:w="108" w:type="dxa"/>
              <w:bottom w:w="0" w:type="dxa"/>
              <w:right w:w="108" w:type="dxa"/>
            </w:tcMar>
          </w:tcPr>
          <w:p w14:paraId="38B15958"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r w:rsidRPr="004C0798">
              <w:rPr>
                <w:rFonts w:asciiTheme="majorHAnsi" w:hAnsiTheme="majorHAnsi" w:cstheme="majorHAnsi"/>
                <w:i/>
                <w:color w:val="808080" w:themeColor="background1" w:themeShade="80"/>
                <w:sz w:val="20"/>
                <w:szCs w:val="20"/>
              </w:rPr>
              <w:t>[text]</w:t>
            </w:r>
          </w:p>
          <w:p w14:paraId="06BD53F2" w14:textId="77777777" w:rsidR="00EA37BF" w:rsidRPr="004C0798" w:rsidRDefault="00EA37BF" w:rsidP="00861438">
            <w:pPr>
              <w:spacing w:after="120" w:line="240" w:lineRule="auto"/>
              <w:rPr>
                <w:rFonts w:asciiTheme="majorHAnsi" w:hAnsiTheme="majorHAnsi" w:cstheme="majorHAnsi"/>
                <w:i/>
                <w:color w:val="808080" w:themeColor="background1" w:themeShade="80"/>
                <w:sz w:val="20"/>
                <w:szCs w:val="20"/>
              </w:rPr>
            </w:pPr>
          </w:p>
        </w:tc>
      </w:tr>
    </w:tbl>
    <w:p w14:paraId="4111D641" w14:textId="77777777" w:rsidR="00EA37BF" w:rsidRPr="004C0798" w:rsidRDefault="00EA37BF" w:rsidP="00EA37BF">
      <w:pPr>
        <w:spacing w:after="120" w:line="240" w:lineRule="auto"/>
        <w:rPr>
          <w:rFonts w:asciiTheme="majorHAnsi" w:hAnsiTheme="majorHAnsi" w:cstheme="majorHAnsi"/>
          <w:color w:val="808080" w:themeColor="background1" w:themeShade="80"/>
          <w:sz w:val="20"/>
          <w:szCs w:val="20"/>
        </w:rPr>
      </w:pPr>
    </w:p>
    <w:p w14:paraId="10817420" w14:textId="5150A858" w:rsidR="00AE0328" w:rsidRDefault="00AE0328" w:rsidP="00320586">
      <w:pPr>
        <w:spacing w:after="120" w:line="240" w:lineRule="auto"/>
        <w:ind w:right="-1"/>
        <w:jc w:val="both"/>
        <w:rPr>
          <w:rFonts w:asciiTheme="majorHAnsi" w:eastAsia="Arial Narrow" w:hAnsiTheme="majorHAnsi" w:cstheme="majorHAnsi"/>
          <w:sz w:val="24"/>
          <w:szCs w:val="24"/>
        </w:rPr>
      </w:pPr>
    </w:p>
    <w:sectPr w:rsidR="00AE0328" w:rsidSect="00EA37BF">
      <w:headerReference w:type="even" r:id="rId38"/>
      <w:headerReference w:type="default" r:id="rId39"/>
      <w:footerReference w:type="even" r:id="rId40"/>
      <w:footerReference w:type="default" r:id="rId41"/>
      <w:headerReference w:type="first" r:id="rId42"/>
      <w:footerReference w:type="first" r:id="rId43"/>
      <w:pgSz w:w="11906" w:h="16838" w:code="9"/>
      <w:pgMar w:top="567" w:right="1134" w:bottom="567" w:left="1134"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9469C" w14:textId="77777777" w:rsidR="00E76CF1" w:rsidRDefault="00E76CF1">
      <w:pPr>
        <w:spacing w:after="0" w:line="240" w:lineRule="auto"/>
      </w:pPr>
      <w:r>
        <w:separator/>
      </w:r>
    </w:p>
  </w:endnote>
  <w:endnote w:type="continuationSeparator" w:id="0">
    <w:p w14:paraId="33DE0E84" w14:textId="77777777" w:rsidR="00E76CF1" w:rsidRDefault="00E7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A9F9E" w14:textId="77777777" w:rsidR="00EA37BF" w:rsidRDefault="00EA37BF">
    <w:pPr>
      <w:pBdr>
        <w:top w:val="nil"/>
        <w:left w:val="nil"/>
        <w:bottom w:val="nil"/>
        <w:right w:val="nil"/>
        <w:between w:val="nil"/>
      </w:pBdr>
      <w:tabs>
        <w:tab w:val="center" w:pos="4535"/>
        <w:tab w:val="right" w:pos="9071"/>
        <w:tab w:val="right" w:pos="9921"/>
      </w:tabs>
      <w:spacing w:before="360" w:after="0"/>
      <w:ind w:left="-850" w:right="-850"/>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44D03" w14:textId="77777777" w:rsidR="00EA37BF" w:rsidRDefault="00EA37BF">
    <w:pPr>
      <w:pBdr>
        <w:top w:val="nil"/>
        <w:left w:val="nil"/>
        <w:bottom w:val="nil"/>
        <w:right w:val="nil"/>
        <w:between w:val="nil"/>
      </w:pBdr>
      <w:tabs>
        <w:tab w:val="center" w:pos="4535"/>
        <w:tab w:val="right" w:pos="9071"/>
        <w:tab w:val="right" w:pos="9921"/>
      </w:tabs>
      <w:spacing w:before="360" w:after="0"/>
      <w:ind w:left="-850" w:right="-850"/>
      <w:rPr>
        <w:color w:val="00000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DC35B" w14:textId="489B026F" w:rsidR="00EA37BF" w:rsidRDefault="00EA37BF" w:rsidP="00EA37BF">
    <w:pPr>
      <w:pBdr>
        <w:top w:val="nil"/>
        <w:left w:val="nil"/>
        <w:bottom w:val="nil"/>
        <w:right w:val="nil"/>
        <w:between w:val="nil"/>
      </w:pBdr>
      <w:tabs>
        <w:tab w:val="center" w:pos="4535"/>
        <w:tab w:val="right" w:pos="9071"/>
        <w:tab w:val="right" w:pos="9921"/>
      </w:tabs>
      <w:spacing w:before="360" w:after="0"/>
      <w:ind w:left="-850" w:right="-850"/>
      <w:jc w:val="center"/>
      <w:rPr>
        <w:color w:val="000000"/>
      </w:rPr>
    </w:pPr>
    <w:r>
      <w:rPr>
        <w:color w:val="000000"/>
      </w:rPr>
      <w:fldChar w:fldCharType="begin"/>
    </w:r>
    <w:r>
      <w:rPr>
        <w:color w:val="000000"/>
      </w:rPr>
      <w:instrText>PAGE</w:instrText>
    </w:r>
    <w:r>
      <w:rPr>
        <w:color w:val="000000"/>
      </w:rPr>
      <w:fldChar w:fldCharType="separate"/>
    </w:r>
    <w:r>
      <w:rPr>
        <w:noProof/>
        <w:color w:val="000000"/>
      </w:rPr>
      <w:t>32</w:t>
    </w:r>
    <w:r>
      <w:rPr>
        <w:color w:val="00000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C8D6F" w14:textId="77777777" w:rsidR="00EA37BF" w:rsidRDefault="00EA37BF">
    <w:pPr>
      <w:pBdr>
        <w:top w:val="nil"/>
        <w:left w:val="nil"/>
        <w:bottom w:val="nil"/>
        <w:right w:val="nil"/>
        <w:between w:val="nil"/>
      </w:pBdr>
      <w:tabs>
        <w:tab w:val="center" w:pos="4535"/>
        <w:tab w:val="right" w:pos="9071"/>
        <w:tab w:val="right" w:pos="9921"/>
      </w:tabs>
      <w:spacing w:before="360" w:after="0"/>
      <w:ind w:left="-850" w:right="-850"/>
      <w:rPr>
        <w:color w:val="00000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BCAF3" w14:textId="77777777" w:rsidR="00EA37BF" w:rsidRDefault="00EA37BF">
    <w:pPr>
      <w:pBdr>
        <w:top w:val="nil"/>
        <w:left w:val="nil"/>
        <w:bottom w:val="nil"/>
        <w:right w:val="nil"/>
        <w:between w:val="nil"/>
      </w:pBdr>
      <w:tabs>
        <w:tab w:val="center" w:pos="4535"/>
        <w:tab w:val="right" w:pos="9071"/>
        <w:tab w:val="right" w:pos="9921"/>
      </w:tabs>
      <w:spacing w:before="360" w:after="0"/>
      <w:ind w:left="-850" w:right="-850"/>
      <w:rPr>
        <w:color w:val="00000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F00FB" w14:textId="30FF2E2B" w:rsidR="00EA37BF" w:rsidRDefault="00EA37BF" w:rsidP="00EA37BF">
    <w:pPr>
      <w:pBdr>
        <w:top w:val="nil"/>
        <w:left w:val="nil"/>
        <w:bottom w:val="nil"/>
        <w:right w:val="nil"/>
        <w:between w:val="nil"/>
      </w:pBdr>
      <w:tabs>
        <w:tab w:val="center" w:pos="4535"/>
        <w:tab w:val="right" w:pos="9071"/>
        <w:tab w:val="right" w:pos="9921"/>
      </w:tabs>
      <w:spacing w:before="360" w:after="0"/>
      <w:ind w:left="-850" w:right="-850"/>
      <w:jc w:val="center"/>
      <w:rPr>
        <w:rFonts w:ascii="Arial" w:eastAsia="Arial" w:hAnsi="Arial" w:cs="Arial"/>
        <w:b/>
        <w:color w:val="000000"/>
        <w:sz w:val="48"/>
        <w:szCs w:val="48"/>
      </w:rPr>
    </w:pPr>
    <w:r>
      <w:rPr>
        <w:color w:val="000000"/>
      </w:rPr>
      <w:fldChar w:fldCharType="begin"/>
    </w:r>
    <w:r>
      <w:rPr>
        <w:color w:val="000000"/>
      </w:rPr>
      <w:instrText>PAGE</w:instrText>
    </w:r>
    <w:r>
      <w:rPr>
        <w:color w:val="000000"/>
      </w:rPr>
      <w:fldChar w:fldCharType="separate"/>
    </w:r>
    <w:r>
      <w:rPr>
        <w:noProof/>
        <w:color w:val="000000"/>
      </w:rPr>
      <w:t>33</w:t>
    </w:r>
    <w:r>
      <w:rPr>
        <w:color w:val="00000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6F42C" w14:textId="77777777" w:rsidR="00EA37BF" w:rsidRDefault="00EA37BF">
    <w:pPr>
      <w:pBdr>
        <w:top w:val="nil"/>
        <w:left w:val="nil"/>
        <w:bottom w:val="nil"/>
        <w:right w:val="nil"/>
        <w:between w:val="nil"/>
      </w:pBdr>
      <w:tabs>
        <w:tab w:val="center" w:pos="7285"/>
        <w:tab w:val="center" w:pos="10913"/>
        <w:tab w:val="right" w:pos="15137"/>
      </w:tabs>
      <w:spacing w:before="360" w:after="0"/>
      <w:ind w:left="-567" w:right="-567"/>
      <w:rPr>
        <w:color w:val="00000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C20A8" w14:textId="77777777" w:rsidR="006A46D0" w:rsidRDefault="006A46D0"/>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2052E" w14:textId="4F880A47" w:rsidR="006A46D0" w:rsidRDefault="00EA37BF">
    <w:pPr>
      <w:jc w:val="right"/>
    </w:pPr>
    <w:r>
      <w:fldChar w:fldCharType="begin"/>
    </w:r>
    <w:r>
      <w:instrText xml:space="preserve"> PAGE   \* MERGEFORMAT </w:instrText>
    </w:r>
    <w:r>
      <w:fldChar w:fldCharType="separate"/>
    </w:r>
    <w:r>
      <w:rPr>
        <w:noProof/>
      </w:rPr>
      <w:t>1</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6A87C" w14:textId="77777777" w:rsidR="006A46D0" w:rsidRDefault="006A46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A31F6" w14:textId="77777777" w:rsidR="00EA37BF" w:rsidRPr="000604FA" w:rsidRDefault="00EA37BF" w:rsidP="00EA37BF">
    <w:pPr>
      <w:pBdr>
        <w:top w:val="nil"/>
        <w:left w:val="nil"/>
        <w:bottom w:val="nil"/>
        <w:right w:val="nil"/>
        <w:between w:val="nil"/>
      </w:pBdr>
      <w:tabs>
        <w:tab w:val="center" w:pos="4535"/>
        <w:tab w:val="right" w:pos="9071"/>
        <w:tab w:val="right" w:pos="9921"/>
      </w:tabs>
      <w:spacing w:after="0" w:line="240" w:lineRule="auto"/>
      <w:ind w:left="-851" w:right="-851"/>
      <w:jc w:val="center"/>
      <w:rPr>
        <w:color w:val="000000"/>
        <w:sz w:val="24"/>
        <w:szCs w:val="24"/>
      </w:rPr>
    </w:pPr>
    <w:r w:rsidRPr="000604FA">
      <w:rPr>
        <w:color w:val="000000"/>
        <w:sz w:val="24"/>
        <w:szCs w:val="24"/>
      </w:rPr>
      <w:fldChar w:fldCharType="begin"/>
    </w:r>
    <w:r w:rsidRPr="000604FA">
      <w:rPr>
        <w:color w:val="000000"/>
        <w:sz w:val="24"/>
        <w:szCs w:val="24"/>
      </w:rPr>
      <w:instrText>PAGE</w:instrText>
    </w:r>
    <w:r w:rsidRPr="000604FA">
      <w:rPr>
        <w:color w:val="000000"/>
        <w:sz w:val="24"/>
        <w:szCs w:val="24"/>
      </w:rPr>
      <w:fldChar w:fldCharType="separate"/>
    </w:r>
    <w:r w:rsidRPr="000604FA">
      <w:rPr>
        <w:noProof/>
        <w:color w:val="000000"/>
        <w:sz w:val="24"/>
        <w:szCs w:val="24"/>
      </w:rPr>
      <w:t>2</w:t>
    </w:r>
    <w:r w:rsidRPr="000604FA">
      <w:rPr>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CB074" w14:textId="77777777" w:rsidR="00EA37BF" w:rsidRDefault="00EA37BF">
    <w:pPr>
      <w:pBdr>
        <w:top w:val="nil"/>
        <w:left w:val="nil"/>
        <w:bottom w:val="nil"/>
        <w:right w:val="nil"/>
        <w:between w:val="nil"/>
      </w:pBdr>
      <w:tabs>
        <w:tab w:val="center" w:pos="4535"/>
        <w:tab w:val="right" w:pos="9071"/>
        <w:tab w:val="right" w:pos="9921"/>
      </w:tabs>
      <w:spacing w:before="360" w:after="0"/>
      <w:ind w:left="-850" w:right="-850"/>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3EA18E0" w14:textId="77777777" w:rsidR="00EA37BF" w:rsidRDefault="00EA37BF">
    <w:pPr>
      <w:pBdr>
        <w:top w:val="nil"/>
        <w:left w:val="nil"/>
        <w:bottom w:val="nil"/>
        <w:right w:val="nil"/>
        <w:between w:val="nil"/>
      </w:pBdr>
      <w:tabs>
        <w:tab w:val="center" w:pos="4535"/>
        <w:tab w:val="right" w:pos="9071"/>
        <w:tab w:val="right" w:pos="9921"/>
      </w:tabs>
      <w:spacing w:before="360" w:after="0"/>
      <w:ind w:left="-850" w:right="-85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DC5F" w14:textId="77777777" w:rsidR="00EA37BF" w:rsidRDefault="00EA37BF">
    <w:pPr>
      <w:pBdr>
        <w:top w:val="nil"/>
        <w:left w:val="nil"/>
        <w:bottom w:val="nil"/>
        <w:right w:val="nil"/>
        <w:between w:val="nil"/>
      </w:pBdr>
      <w:tabs>
        <w:tab w:val="center" w:pos="4535"/>
        <w:tab w:val="right" w:pos="9071"/>
        <w:tab w:val="right" w:pos="9921"/>
      </w:tabs>
      <w:spacing w:before="360" w:after="0"/>
      <w:ind w:left="-850" w:right="-850"/>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64ED5" w14:textId="77777777" w:rsidR="00EA37BF" w:rsidRDefault="00EA37BF">
    <w:pPr>
      <w:pBdr>
        <w:top w:val="single" w:sz="4" w:space="1" w:color="808080"/>
        <w:left w:val="nil"/>
        <w:bottom w:val="nil"/>
        <w:right w:val="nil"/>
        <w:between w:val="nil"/>
      </w:pBdr>
      <w:tabs>
        <w:tab w:val="center" w:pos="4535"/>
        <w:tab w:val="right" w:pos="9071"/>
        <w:tab w:val="right" w:pos="9921"/>
      </w:tabs>
      <w:spacing w:before="360" w:after="0"/>
      <w:ind w:left="-850" w:right="-850"/>
      <w:jc w:val="right"/>
      <w:rPr>
        <w:color w:val="000000"/>
      </w:rPr>
    </w:pPr>
    <w:r>
      <w:rPr>
        <w:color w:val="000000"/>
      </w:rPr>
      <w:fldChar w:fldCharType="begin"/>
    </w:r>
    <w:r>
      <w:rPr>
        <w:color w:val="000000"/>
      </w:rPr>
      <w:instrText>PAGE</w:instrText>
    </w:r>
    <w:r>
      <w:rPr>
        <w:color w:val="000000"/>
      </w:rPr>
      <w:fldChar w:fldCharType="separate"/>
    </w:r>
    <w:r>
      <w:rPr>
        <w:noProof/>
        <w:color w:val="000000"/>
      </w:rPr>
      <w:t>29</w:t>
    </w:r>
    <w:r>
      <w:rPr>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372C3" w14:textId="77777777" w:rsidR="00EA37BF" w:rsidRDefault="00EA37BF">
    <w:pPr>
      <w:pBdr>
        <w:top w:val="nil"/>
        <w:left w:val="nil"/>
        <w:bottom w:val="nil"/>
        <w:right w:val="nil"/>
        <w:between w:val="nil"/>
      </w:pBdr>
      <w:tabs>
        <w:tab w:val="center" w:pos="4535"/>
        <w:tab w:val="right" w:pos="9071"/>
        <w:tab w:val="right" w:pos="9921"/>
      </w:tabs>
      <w:spacing w:before="360" w:after="0"/>
      <w:ind w:left="-850" w:right="-850"/>
      <w:jc w:val="center"/>
      <w:rPr>
        <w:color w:val="000000"/>
      </w:rPr>
    </w:pPr>
    <w:r>
      <w:rPr>
        <w:color w:val="000000"/>
      </w:rPr>
      <w:fldChar w:fldCharType="begin"/>
    </w:r>
    <w:r>
      <w:rPr>
        <w:color w:val="000000"/>
      </w:rPr>
      <w:instrText>PAGE</w:instrText>
    </w:r>
    <w:r>
      <w:rPr>
        <w:color w:val="000000"/>
      </w:rPr>
      <w:fldChar w:fldCharType="separate"/>
    </w:r>
    <w:r>
      <w:rPr>
        <w:noProof/>
        <w:color w:val="000000"/>
      </w:rPr>
      <w:t>28</w:t>
    </w:r>
    <w:r>
      <w:rPr>
        <w:color w:val="000000"/>
      </w:rPr>
      <w:fldChar w:fldCharType="end"/>
    </w:r>
  </w:p>
  <w:p w14:paraId="38269568" w14:textId="77777777" w:rsidR="00EA37BF" w:rsidRDefault="00EA37BF">
    <w:pPr>
      <w:pBdr>
        <w:top w:val="nil"/>
        <w:left w:val="nil"/>
        <w:bottom w:val="nil"/>
        <w:right w:val="nil"/>
        <w:between w:val="nil"/>
      </w:pBdr>
      <w:tabs>
        <w:tab w:val="center" w:pos="4535"/>
        <w:tab w:val="right" w:pos="9071"/>
        <w:tab w:val="right" w:pos="9921"/>
      </w:tabs>
      <w:spacing w:before="360" w:after="0"/>
      <w:ind w:left="-850" w:right="-850"/>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84836" w14:textId="77777777" w:rsidR="00EA37BF" w:rsidRDefault="00EA37BF">
    <w:pPr>
      <w:pBdr>
        <w:top w:val="nil"/>
        <w:left w:val="nil"/>
        <w:bottom w:val="nil"/>
        <w:right w:val="nil"/>
        <w:between w:val="nil"/>
      </w:pBdr>
      <w:tabs>
        <w:tab w:val="center" w:pos="4535"/>
        <w:tab w:val="right" w:pos="9071"/>
        <w:tab w:val="right" w:pos="9921"/>
      </w:tabs>
      <w:spacing w:before="360" w:after="0"/>
      <w:ind w:left="-850" w:right="-850"/>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03724" w14:textId="77777777" w:rsidR="00EA37BF" w:rsidRDefault="00EA37BF" w:rsidP="009C63E5">
    <w:pPr>
      <w:pBdr>
        <w:top w:val="nil"/>
        <w:left w:val="nil"/>
        <w:bottom w:val="nil"/>
        <w:right w:val="nil"/>
        <w:between w:val="nil"/>
      </w:pBdr>
      <w:tabs>
        <w:tab w:val="center" w:pos="4535"/>
        <w:tab w:val="right" w:pos="9071"/>
        <w:tab w:val="right" w:pos="9921"/>
      </w:tabs>
      <w:spacing w:before="360" w:after="0"/>
      <w:ind w:left="-850" w:right="-850"/>
      <w:jc w:val="center"/>
      <w:rPr>
        <w:color w:val="000000"/>
      </w:rPr>
    </w:pPr>
    <w:r>
      <w:rPr>
        <w:color w:val="000000"/>
      </w:rPr>
      <w:fldChar w:fldCharType="begin"/>
    </w:r>
    <w:r>
      <w:rPr>
        <w:color w:val="000000"/>
      </w:rPr>
      <w:instrText>PAGE</w:instrText>
    </w:r>
    <w:r>
      <w:rPr>
        <w:color w:val="000000"/>
      </w:rPr>
      <w:fldChar w:fldCharType="separate"/>
    </w:r>
    <w:r>
      <w:rPr>
        <w:noProof/>
        <w:color w:val="000000"/>
      </w:rPr>
      <w:t>29</w:t>
    </w:r>
    <w:r>
      <w:rPr>
        <w:color w:val="00000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7B03B" w14:textId="77777777" w:rsidR="00EA37BF" w:rsidRDefault="00EA37BF">
    <w:pPr>
      <w:pBdr>
        <w:top w:val="nil"/>
        <w:left w:val="nil"/>
        <w:bottom w:val="nil"/>
        <w:right w:val="nil"/>
        <w:between w:val="nil"/>
      </w:pBdr>
      <w:tabs>
        <w:tab w:val="center" w:pos="4535"/>
        <w:tab w:val="right" w:pos="9071"/>
        <w:tab w:val="right" w:pos="9921"/>
      </w:tabs>
      <w:spacing w:before="360" w:after="0"/>
      <w:ind w:left="-850" w:right="-85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50261" w14:textId="77777777" w:rsidR="00E76CF1" w:rsidRDefault="00E76CF1">
      <w:pPr>
        <w:spacing w:after="0" w:line="240" w:lineRule="auto"/>
      </w:pPr>
      <w:r>
        <w:separator/>
      </w:r>
    </w:p>
  </w:footnote>
  <w:footnote w:type="continuationSeparator" w:id="0">
    <w:p w14:paraId="4E30F240" w14:textId="77777777" w:rsidR="00E76CF1" w:rsidRDefault="00E76CF1">
      <w:pPr>
        <w:spacing w:after="0" w:line="240" w:lineRule="auto"/>
      </w:pPr>
      <w:r>
        <w:continuationSeparator/>
      </w:r>
    </w:p>
  </w:footnote>
  <w:footnote w:id="1">
    <w:p w14:paraId="2F203755" w14:textId="77777777" w:rsidR="006A46D0" w:rsidRPr="006A46D0" w:rsidRDefault="006A46D0" w:rsidP="006A46D0">
      <w:pPr>
        <w:pBdr>
          <w:top w:val="nil"/>
          <w:left w:val="nil"/>
          <w:bottom w:val="nil"/>
          <w:right w:val="nil"/>
          <w:between w:val="nil"/>
        </w:pBdr>
        <w:spacing w:after="0"/>
        <w:rPr>
          <w:rFonts w:asciiTheme="majorHAnsi" w:hAnsiTheme="majorHAnsi" w:cstheme="majorHAnsi"/>
          <w:color w:val="000000"/>
          <w:sz w:val="16"/>
          <w:szCs w:val="16"/>
        </w:rPr>
      </w:pPr>
      <w:r w:rsidRPr="006A46D0">
        <w:rPr>
          <w:rFonts w:asciiTheme="majorHAnsi" w:hAnsiTheme="majorHAnsi" w:cstheme="majorHAnsi"/>
          <w:sz w:val="16"/>
          <w:szCs w:val="16"/>
          <w:vertAlign w:val="superscript"/>
        </w:rPr>
        <w:footnoteRef/>
      </w:r>
      <w:r w:rsidRPr="006A46D0">
        <w:rPr>
          <w:rFonts w:asciiTheme="majorHAnsi" w:hAnsiTheme="majorHAnsi" w:cstheme="majorHAnsi"/>
          <w:color w:val="000000"/>
          <w:sz w:val="16"/>
          <w:szCs w:val="16"/>
        </w:rPr>
        <w:t xml:space="preserve"> </w:t>
      </w:r>
      <w:proofErr w:type="spellStart"/>
      <w:r w:rsidRPr="006A46D0">
        <w:rPr>
          <w:rFonts w:asciiTheme="majorHAnsi" w:hAnsiTheme="majorHAnsi" w:cstheme="majorHAnsi"/>
          <w:i/>
          <w:color w:val="000000"/>
          <w:sz w:val="16"/>
          <w:szCs w:val="16"/>
        </w:rPr>
        <w:t>Without</w:t>
      </w:r>
      <w:proofErr w:type="spellEnd"/>
      <w:r w:rsidRPr="006A46D0">
        <w:rPr>
          <w:rFonts w:asciiTheme="majorHAnsi" w:hAnsiTheme="majorHAnsi" w:cstheme="majorHAnsi"/>
          <w:i/>
          <w:color w:val="000000"/>
          <w:sz w:val="16"/>
          <w:szCs w:val="16"/>
        </w:rPr>
        <w:t xml:space="preserve"> </w:t>
      </w:r>
      <w:proofErr w:type="spellStart"/>
      <w:r w:rsidRPr="006A46D0">
        <w:rPr>
          <w:rFonts w:asciiTheme="majorHAnsi" w:hAnsiTheme="majorHAnsi" w:cstheme="majorHAnsi"/>
          <w:i/>
          <w:color w:val="000000"/>
          <w:sz w:val="16"/>
          <w:szCs w:val="16"/>
        </w:rPr>
        <w:t>prejudice</w:t>
      </w:r>
      <w:proofErr w:type="spellEnd"/>
      <w:r w:rsidRPr="006A46D0">
        <w:rPr>
          <w:rFonts w:asciiTheme="majorHAnsi" w:hAnsiTheme="majorHAnsi" w:cstheme="majorHAnsi"/>
          <w:i/>
          <w:color w:val="000000"/>
          <w:sz w:val="16"/>
          <w:szCs w:val="16"/>
        </w:rPr>
        <w:t xml:space="preserve"> </w:t>
      </w:r>
      <w:proofErr w:type="spellStart"/>
      <w:r w:rsidRPr="006A46D0">
        <w:rPr>
          <w:rFonts w:asciiTheme="majorHAnsi" w:hAnsiTheme="majorHAnsi" w:cstheme="majorHAnsi"/>
          <w:i/>
          <w:color w:val="000000"/>
          <w:sz w:val="16"/>
          <w:szCs w:val="16"/>
        </w:rPr>
        <w:t>to</w:t>
      </w:r>
      <w:proofErr w:type="spellEnd"/>
      <w:r w:rsidRPr="006A46D0">
        <w:rPr>
          <w:rFonts w:asciiTheme="majorHAnsi" w:hAnsiTheme="majorHAnsi" w:cstheme="majorHAnsi"/>
          <w:i/>
          <w:color w:val="000000"/>
          <w:sz w:val="16"/>
          <w:szCs w:val="16"/>
        </w:rPr>
        <w:t xml:space="preserve"> </w:t>
      </w:r>
      <w:proofErr w:type="spellStart"/>
      <w:r w:rsidRPr="006A46D0">
        <w:rPr>
          <w:rFonts w:asciiTheme="majorHAnsi" w:hAnsiTheme="majorHAnsi" w:cstheme="majorHAnsi"/>
          <w:i/>
          <w:color w:val="000000"/>
          <w:sz w:val="16"/>
          <w:szCs w:val="16"/>
        </w:rPr>
        <w:t>further</w:t>
      </w:r>
      <w:proofErr w:type="spellEnd"/>
      <w:r w:rsidRPr="006A46D0">
        <w:rPr>
          <w:rFonts w:asciiTheme="majorHAnsi" w:hAnsiTheme="majorHAnsi" w:cstheme="majorHAnsi"/>
          <w:i/>
          <w:color w:val="000000"/>
          <w:sz w:val="16"/>
          <w:szCs w:val="16"/>
        </w:rPr>
        <w:t xml:space="preserve"> </w:t>
      </w:r>
      <w:proofErr w:type="spellStart"/>
      <w:r w:rsidRPr="006A46D0">
        <w:rPr>
          <w:rFonts w:asciiTheme="majorHAnsi" w:hAnsiTheme="majorHAnsi" w:cstheme="majorHAnsi"/>
          <w:i/>
          <w:color w:val="000000"/>
          <w:sz w:val="16"/>
          <w:szCs w:val="16"/>
        </w:rPr>
        <w:t>alignment</w:t>
      </w:r>
      <w:proofErr w:type="spellEnd"/>
      <w:r w:rsidRPr="006A46D0">
        <w:rPr>
          <w:rFonts w:asciiTheme="majorHAnsi" w:hAnsiTheme="majorHAnsi" w:cstheme="majorHAnsi"/>
          <w:i/>
          <w:color w:val="000000"/>
          <w:sz w:val="16"/>
          <w:szCs w:val="16"/>
        </w:rPr>
        <w:t xml:space="preserve"> in </w:t>
      </w:r>
      <w:proofErr w:type="spellStart"/>
      <w:r w:rsidRPr="006A46D0">
        <w:rPr>
          <w:rFonts w:asciiTheme="majorHAnsi" w:hAnsiTheme="majorHAnsi" w:cstheme="majorHAnsi"/>
          <w:i/>
          <w:color w:val="000000"/>
          <w:sz w:val="16"/>
          <w:szCs w:val="16"/>
        </w:rPr>
        <w:t>relation</w:t>
      </w:r>
      <w:proofErr w:type="spellEnd"/>
      <w:r w:rsidRPr="006A46D0">
        <w:rPr>
          <w:rFonts w:asciiTheme="majorHAnsi" w:hAnsiTheme="majorHAnsi" w:cstheme="majorHAnsi"/>
          <w:i/>
          <w:color w:val="000000"/>
          <w:sz w:val="16"/>
          <w:szCs w:val="16"/>
        </w:rPr>
        <w:t xml:space="preserve"> </w:t>
      </w:r>
      <w:proofErr w:type="spellStart"/>
      <w:r w:rsidRPr="006A46D0">
        <w:rPr>
          <w:rFonts w:asciiTheme="majorHAnsi" w:hAnsiTheme="majorHAnsi" w:cstheme="majorHAnsi"/>
          <w:i/>
          <w:color w:val="000000"/>
          <w:sz w:val="16"/>
          <w:szCs w:val="16"/>
        </w:rPr>
        <w:t>to</w:t>
      </w:r>
      <w:proofErr w:type="spellEnd"/>
      <w:r w:rsidRPr="006A46D0">
        <w:rPr>
          <w:rFonts w:asciiTheme="majorHAnsi" w:hAnsiTheme="majorHAnsi" w:cstheme="majorHAnsi"/>
          <w:i/>
          <w:color w:val="000000"/>
          <w:sz w:val="16"/>
          <w:szCs w:val="16"/>
        </w:rPr>
        <w:t xml:space="preserve"> the </w:t>
      </w:r>
      <w:proofErr w:type="spellStart"/>
      <w:r w:rsidRPr="006A46D0">
        <w:rPr>
          <w:rFonts w:asciiTheme="majorHAnsi" w:hAnsiTheme="majorHAnsi" w:cstheme="majorHAnsi"/>
          <w:i/>
          <w:color w:val="000000"/>
          <w:sz w:val="16"/>
          <w:szCs w:val="16"/>
        </w:rPr>
        <w:t>outcome</w:t>
      </w:r>
      <w:proofErr w:type="spellEnd"/>
      <w:r w:rsidRPr="006A46D0">
        <w:rPr>
          <w:rFonts w:asciiTheme="majorHAnsi" w:hAnsiTheme="majorHAnsi" w:cstheme="majorHAnsi"/>
          <w:i/>
          <w:color w:val="000000"/>
          <w:sz w:val="16"/>
          <w:szCs w:val="16"/>
        </w:rPr>
        <w:t xml:space="preserve"> of </w:t>
      </w:r>
      <w:proofErr w:type="spellStart"/>
      <w:r w:rsidRPr="006A46D0">
        <w:rPr>
          <w:rFonts w:asciiTheme="majorHAnsi" w:hAnsiTheme="majorHAnsi" w:cstheme="majorHAnsi"/>
          <w:i/>
          <w:color w:val="000000"/>
          <w:sz w:val="16"/>
          <w:szCs w:val="16"/>
        </w:rPr>
        <w:t>interinstitutional</w:t>
      </w:r>
      <w:proofErr w:type="spellEnd"/>
      <w:r w:rsidRPr="006A46D0">
        <w:rPr>
          <w:rFonts w:asciiTheme="majorHAnsi" w:hAnsiTheme="majorHAnsi" w:cstheme="majorHAnsi"/>
          <w:i/>
          <w:color w:val="000000"/>
          <w:sz w:val="16"/>
          <w:szCs w:val="16"/>
        </w:rPr>
        <w:t xml:space="preserve"> </w:t>
      </w:r>
      <w:proofErr w:type="spellStart"/>
      <w:r w:rsidRPr="006A46D0">
        <w:rPr>
          <w:rFonts w:asciiTheme="majorHAnsi" w:hAnsiTheme="majorHAnsi" w:cstheme="majorHAnsi"/>
          <w:i/>
          <w:color w:val="000000"/>
          <w:sz w:val="16"/>
          <w:szCs w:val="16"/>
        </w:rPr>
        <w:t>negotiations</w:t>
      </w:r>
      <w:proofErr w:type="spellEnd"/>
      <w:r w:rsidRPr="006A46D0">
        <w:rPr>
          <w:rFonts w:asciiTheme="majorHAnsi" w:hAnsiTheme="majorHAnsi" w:cstheme="majorHAnsi"/>
          <w:i/>
          <w:color w:val="000000"/>
          <w:sz w:val="16"/>
          <w:szCs w:val="16"/>
        </w:rPr>
        <w:t xml:space="preserve"> on the </w:t>
      </w:r>
      <w:proofErr w:type="spellStart"/>
      <w:r w:rsidRPr="006A46D0">
        <w:rPr>
          <w:rFonts w:asciiTheme="majorHAnsi" w:hAnsiTheme="majorHAnsi" w:cstheme="majorHAnsi"/>
          <w:i/>
          <w:color w:val="000000"/>
          <w:sz w:val="16"/>
          <w:szCs w:val="16"/>
        </w:rPr>
        <w:t>articles</w:t>
      </w:r>
      <w:proofErr w:type="spellEnd"/>
      <w:r w:rsidRPr="006A46D0">
        <w:rPr>
          <w:rFonts w:asciiTheme="majorHAnsi" w:hAnsiTheme="majorHAnsi" w:cstheme="majorHAnsi"/>
          <w:i/>
          <w:color w:val="000000"/>
          <w:sz w:val="16"/>
          <w:szCs w:val="16"/>
        </w:rPr>
        <w:t xml:space="preserve"> of the CPR </w:t>
      </w:r>
      <w:proofErr w:type="spellStart"/>
      <w:r w:rsidRPr="006A46D0">
        <w:rPr>
          <w:rFonts w:asciiTheme="majorHAnsi" w:hAnsiTheme="majorHAnsi" w:cstheme="majorHAnsi"/>
          <w:i/>
          <w:color w:val="000000"/>
          <w:sz w:val="16"/>
          <w:szCs w:val="16"/>
        </w:rPr>
        <w:t>and</w:t>
      </w:r>
      <w:proofErr w:type="spellEnd"/>
      <w:r w:rsidRPr="006A46D0">
        <w:rPr>
          <w:rFonts w:asciiTheme="majorHAnsi" w:hAnsiTheme="majorHAnsi" w:cstheme="majorHAnsi"/>
          <w:i/>
          <w:color w:val="000000"/>
          <w:sz w:val="16"/>
          <w:szCs w:val="16"/>
        </w:rPr>
        <w:t xml:space="preserve"> the fund-specific </w:t>
      </w:r>
      <w:proofErr w:type="spellStart"/>
      <w:r w:rsidRPr="006A46D0">
        <w:rPr>
          <w:rFonts w:asciiTheme="majorHAnsi" w:hAnsiTheme="majorHAnsi" w:cstheme="majorHAnsi"/>
          <w:i/>
          <w:color w:val="000000"/>
          <w:sz w:val="16"/>
          <w:szCs w:val="16"/>
        </w:rPr>
        <w:t>regulations</w:t>
      </w:r>
      <w:proofErr w:type="spellEnd"/>
      <w:r w:rsidRPr="006A46D0">
        <w:rPr>
          <w:rFonts w:asciiTheme="majorHAnsi" w:hAnsiTheme="majorHAnsi" w:cstheme="majorHAnsi"/>
          <w:i/>
          <w:color w:val="000000"/>
          <w:sz w:val="16"/>
          <w:szCs w:val="16"/>
        </w:rPr>
        <w:t>.</w:t>
      </w:r>
    </w:p>
  </w:footnote>
  <w:footnote w:id="2">
    <w:p w14:paraId="49A42DB2" w14:textId="77777777" w:rsidR="006A46D0" w:rsidRDefault="006A46D0">
      <w:pPr>
        <w:spacing w:after="0" w:line="240" w:lineRule="auto"/>
        <w:rPr>
          <w:sz w:val="20"/>
          <w:szCs w:val="20"/>
          <w:vertAlign w:val="superscript"/>
        </w:rPr>
      </w:pPr>
      <w:r w:rsidRPr="006A46D0">
        <w:rPr>
          <w:rFonts w:asciiTheme="majorHAnsi" w:hAnsiTheme="majorHAnsi" w:cstheme="majorHAnsi"/>
          <w:sz w:val="16"/>
          <w:szCs w:val="16"/>
          <w:vertAlign w:val="superscript"/>
        </w:rPr>
        <w:footnoteRef/>
      </w:r>
      <w:r w:rsidRPr="006A46D0">
        <w:rPr>
          <w:rFonts w:asciiTheme="majorHAnsi" w:hAnsiTheme="majorHAnsi" w:cstheme="majorHAnsi"/>
          <w:sz w:val="16"/>
          <w:szCs w:val="16"/>
          <w:vertAlign w:val="superscript"/>
        </w:rPr>
        <w:t xml:space="preserve"> </w:t>
      </w:r>
      <w:proofErr w:type="spellStart"/>
      <w:r w:rsidRPr="006A46D0">
        <w:rPr>
          <w:rFonts w:asciiTheme="majorHAnsi" w:eastAsia="Trebuchet MS" w:hAnsiTheme="majorHAnsi" w:cstheme="majorHAnsi"/>
          <w:sz w:val="16"/>
          <w:szCs w:val="16"/>
        </w:rPr>
        <w:t>Number</w:t>
      </w:r>
      <w:proofErr w:type="spellEnd"/>
      <w:r w:rsidRPr="006A46D0">
        <w:rPr>
          <w:rFonts w:asciiTheme="majorHAnsi" w:eastAsia="Trebuchet MS" w:hAnsiTheme="majorHAnsi" w:cstheme="majorHAnsi"/>
          <w:sz w:val="16"/>
          <w:szCs w:val="16"/>
        </w:rPr>
        <w:t xml:space="preserve"> in </w:t>
      </w:r>
      <w:proofErr w:type="spellStart"/>
      <w:r w:rsidRPr="006A46D0">
        <w:rPr>
          <w:rFonts w:asciiTheme="majorHAnsi" w:eastAsia="Trebuchet MS" w:hAnsiTheme="majorHAnsi" w:cstheme="majorHAnsi"/>
          <w:sz w:val="16"/>
          <w:szCs w:val="16"/>
        </w:rPr>
        <w:t>square</w:t>
      </w:r>
      <w:proofErr w:type="spellEnd"/>
      <w:r w:rsidRPr="006A46D0">
        <w:rPr>
          <w:rFonts w:asciiTheme="majorHAnsi" w:eastAsia="Trebuchet MS" w:hAnsiTheme="majorHAnsi" w:cstheme="majorHAnsi"/>
          <w:sz w:val="16"/>
          <w:szCs w:val="16"/>
        </w:rPr>
        <w:t xml:space="preserve"> </w:t>
      </w:r>
      <w:proofErr w:type="spellStart"/>
      <w:r w:rsidRPr="006A46D0">
        <w:rPr>
          <w:rFonts w:asciiTheme="majorHAnsi" w:eastAsia="Trebuchet MS" w:hAnsiTheme="majorHAnsi" w:cstheme="majorHAnsi"/>
          <w:sz w:val="16"/>
          <w:szCs w:val="16"/>
        </w:rPr>
        <w:t>brackets</w:t>
      </w:r>
      <w:proofErr w:type="spellEnd"/>
      <w:r w:rsidRPr="006A46D0">
        <w:rPr>
          <w:rFonts w:asciiTheme="majorHAnsi" w:eastAsia="Trebuchet MS" w:hAnsiTheme="majorHAnsi" w:cstheme="majorHAnsi"/>
          <w:sz w:val="16"/>
          <w:szCs w:val="16"/>
        </w:rPr>
        <w:t xml:space="preserve"> refer </w:t>
      </w:r>
      <w:proofErr w:type="spellStart"/>
      <w:r w:rsidRPr="006A46D0">
        <w:rPr>
          <w:rFonts w:asciiTheme="majorHAnsi" w:eastAsia="Trebuchet MS" w:hAnsiTheme="majorHAnsi" w:cstheme="majorHAnsi"/>
          <w:sz w:val="16"/>
          <w:szCs w:val="16"/>
        </w:rPr>
        <w:t>to</w:t>
      </w:r>
      <w:proofErr w:type="spellEnd"/>
      <w:r w:rsidRPr="006A46D0">
        <w:rPr>
          <w:rFonts w:asciiTheme="majorHAnsi" w:eastAsia="Trebuchet MS" w:hAnsiTheme="majorHAnsi" w:cstheme="majorHAnsi"/>
          <w:sz w:val="16"/>
          <w:szCs w:val="16"/>
        </w:rPr>
        <w:t xml:space="preserve"> </w:t>
      </w:r>
      <w:proofErr w:type="spellStart"/>
      <w:r w:rsidRPr="006A46D0">
        <w:rPr>
          <w:rFonts w:asciiTheme="majorHAnsi" w:eastAsia="Trebuchet MS" w:hAnsiTheme="majorHAnsi" w:cstheme="majorHAnsi"/>
          <w:sz w:val="16"/>
          <w:szCs w:val="16"/>
        </w:rPr>
        <w:t>number</w:t>
      </w:r>
      <w:proofErr w:type="spellEnd"/>
      <w:r w:rsidRPr="006A46D0">
        <w:rPr>
          <w:rFonts w:asciiTheme="majorHAnsi" w:eastAsia="Trebuchet MS" w:hAnsiTheme="majorHAnsi" w:cstheme="majorHAnsi"/>
          <w:sz w:val="16"/>
          <w:szCs w:val="16"/>
        </w:rPr>
        <w:t xml:space="preserve"> of </w:t>
      </w:r>
      <w:proofErr w:type="spellStart"/>
      <w:r w:rsidRPr="006A46D0">
        <w:rPr>
          <w:rFonts w:asciiTheme="majorHAnsi" w:eastAsia="Trebuchet MS" w:hAnsiTheme="majorHAnsi" w:cstheme="majorHAnsi"/>
          <w:sz w:val="16"/>
          <w:szCs w:val="16"/>
        </w:rPr>
        <w:t>characters</w:t>
      </w:r>
      <w:proofErr w:type="spellEnd"/>
      <w:r w:rsidRPr="006A46D0">
        <w:rPr>
          <w:rFonts w:asciiTheme="majorHAnsi" w:eastAsia="Trebuchet MS" w:hAnsiTheme="majorHAnsi" w:cstheme="majorHAnsi"/>
          <w:sz w:val="16"/>
          <w:szCs w:val="16"/>
        </w:rPr>
        <w:t xml:space="preserve"> </w:t>
      </w:r>
      <w:proofErr w:type="spellStart"/>
      <w:r w:rsidRPr="006A46D0">
        <w:rPr>
          <w:rFonts w:asciiTheme="majorHAnsi" w:eastAsia="Trebuchet MS" w:hAnsiTheme="majorHAnsi" w:cstheme="majorHAnsi"/>
          <w:i/>
          <w:sz w:val="16"/>
          <w:szCs w:val="16"/>
        </w:rPr>
        <w:t>without</w:t>
      </w:r>
      <w:proofErr w:type="spellEnd"/>
      <w:r w:rsidRPr="006A46D0">
        <w:rPr>
          <w:rFonts w:asciiTheme="majorHAnsi" w:eastAsia="Trebuchet MS" w:hAnsiTheme="majorHAnsi" w:cstheme="majorHAnsi"/>
          <w:i/>
          <w:sz w:val="16"/>
          <w:szCs w:val="16"/>
        </w:rPr>
        <w:t xml:space="preserve"> </w:t>
      </w:r>
      <w:proofErr w:type="spellStart"/>
      <w:r w:rsidRPr="006A46D0">
        <w:rPr>
          <w:rFonts w:asciiTheme="majorHAnsi" w:eastAsia="Trebuchet MS" w:hAnsiTheme="majorHAnsi" w:cstheme="majorHAnsi"/>
          <w:i/>
          <w:sz w:val="16"/>
          <w:szCs w:val="16"/>
        </w:rPr>
        <w:t>spaces</w:t>
      </w:r>
      <w:proofErr w:type="spellEnd"/>
      <w:r w:rsidRPr="006A46D0">
        <w:rPr>
          <w:rFonts w:asciiTheme="majorHAnsi" w:eastAsia="Trebuchet MS" w:hAnsiTheme="majorHAnsi" w:cstheme="majorHAnsi"/>
          <w:i/>
          <w:sz w:val="16"/>
          <w:szCs w:val="16"/>
        </w:rPr>
        <w:t>.</w:t>
      </w:r>
    </w:p>
  </w:footnote>
  <w:footnote w:id="3">
    <w:p w14:paraId="3A79E08E" w14:textId="77777777" w:rsidR="006A46D0" w:rsidRDefault="006A46D0">
      <w:pPr>
        <w:pBdr>
          <w:top w:val="nil"/>
          <w:left w:val="nil"/>
          <w:bottom w:val="nil"/>
          <w:right w:val="nil"/>
          <w:between w:val="nil"/>
        </w:pBdr>
        <w:spacing w:after="0" w:line="250" w:lineRule="auto"/>
        <w:ind w:left="850"/>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Some</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modifications</w:t>
      </w:r>
      <w:proofErr w:type="spellEnd"/>
      <w:r>
        <w:rPr>
          <w:rFonts w:ascii="Times New Roman" w:eastAsia="Times New Roman" w:hAnsi="Times New Roman" w:cs="Times New Roman"/>
          <w:i/>
          <w:color w:val="000000"/>
          <w:sz w:val="20"/>
          <w:szCs w:val="20"/>
        </w:rPr>
        <w:t xml:space="preserve"> are </w:t>
      </w:r>
      <w:proofErr w:type="spellStart"/>
      <w:r>
        <w:rPr>
          <w:rFonts w:ascii="Times New Roman" w:eastAsia="Times New Roman" w:hAnsi="Times New Roman" w:cs="Times New Roman"/>
          <w:i/>
          <w:color w:val="000000"/>
          <w:sz w:val="20"/>
          <w:szCs w:val="20"/>
        </w:rPr>
        <w:t>due</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to</w:t>
      </w:r>
      <w:proofErr w:type="spellEnd"/>
      <w:r>
        <w:rPr>
          <w:rFonts w:ascii="Times New Roman" w:eastAsia="Times New Roman" w:hAnsi="Times New Roman" w:cs="Times New Roman"/>
          <w:i/>
          <w:color w:val="000000"/>
          <w:sz w:val="20"/>
          <w:szCs w:val="20"/>
        </w:rPr>
        <w:t xml:space="preserve"> the </w:t>
      </w:r>
      <w:proofErr w:type="spellStart"/>
      <w:r>
        <w:rPr>
          <w:rFonts w:ascii="Times New Roman" w:eastAsia="Times New Roman" w:hAnsi="Times New Roman" w:cs="Times New Roman"/>
          <w:i/>
          <w:color w:val="000000"/>
          <w:sz w:val="20"/>
          <w:szCs w:val="20"/>
        </w:rPr>
        <w:t>aligment</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with</w:t>
      </w:r>
      <w:proofErr w:type="spellEnd"/>
      <w:r>
        <w:rPr>
          <w:rFonts w:ascii="Times New Roman" w:eastAsia="Times New Roman" w:hAnsi="Times New Roman" w:cs="Times New Roman"/>
          <w:i/>
          <w:color w:val="000000"/>
          <w:sz w:val="20"/>
          <w:szCs w:val="20"/>
        </w:rPr>
        <w:t xml:space="preserve"> Fund-specific </w:t>
      </w:r>
      <w:proofErr w:type="spellStart"/>
      <w:r>
        <w:rPr>
          <w:rFonts w:ascii="Times New Roman" w:eastAsia="Times New Roman" w:hAnsi="Times New Roman" w:cs="Times New Roman"/>
          <w:i/>
          <w:color w:val="000000"/>
          <w:sz w:val="20"/>
          <w:szCs w:val="20"/>
        </w:rPr>
        <w:t>Regulations</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eg</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change</w:t>
      </w:r>
      <w:proofErr w:type="spellEnd"/>
      <w:r>
        <w:rPr>
          <w:rFonts w:ascii="Times New Roman" w:eastAsia="Times New Roman" w:hAnsi="Times New Roman" w:cs="Times New Roman"/>
          <w:i/>
          <w:color w:val="000000"/>
          <w:sz w:val="20"/>
          <w:szCs w:val="20"/>
        </w:rPr>
        <w:t xml:space="preserve"> of </w:t>
      </w:r>
      <w:proofErr w:type="spellStart"/>
      <w:r>
        <w:rPr>
          <w:rFonts w:ascii="Times New Roman" w:eastAsia="Times New Roman" w:hAnsi="Times New Roman" w:cs="Times New Roman"/>
          <w:i/>
          <w:color w:val="000000"/>
          <w:sz w:val="20"/>
          <w:szCs w:val="20"/>
        </w:rPr>
        <w:t>numbering</w:t>
      </w:r>
      <w:proofErr w:type="spellEnd"/>
      <w:r>
        <w:rPr>
          <w:rFonts w:ascii="Times New Roman" w:eastAsia="Times New Roman" w:hAnsi="Times New Roman" w:cs="Times New Roman"/>
          <w:i/>
          <w:color w:val="000000"/>
          <w:sz w:val="20"/>
          <w:szCs w:val="20"/>
        </w:rPr>
        <w:t xml:space="preserve"> in the </w:t>
      </w:r>
      <w:proofErr w:type="spellStart"/>
      <w:r>
        <w:rPr>
          <w:rFonts w:ascii="Times New Roman" w:eastAsia="Times New Roman" w:hAnsi="Times New Roman" w:cs="Times New Roman"/>
          <w:i/>
          <w:color w:val="000000"/>
          <w:sz w:val="20"/>
          <w:szCs w:val="20"/>
        </w:rPr>
        <w:t>Fundspecific</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regulations</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after</w:t>
      </w:r>
      <w:proofErr w:type="spellEnd"/>
      <w:r>
        <w:rPr>
          <w:rFonts w:ascii="Times New Roman" w:eastAsia="Times New Roman" w:hAnsi="Times New Roman" w:cs="Times New Roman"/>
          <w:i/>
          <w:color w:val="000000"/>
          <w:sz w:val="20"/>
          <w:szCs w:val="20"/>
        </w:rPr>
        <w:t xml:space="preserve"> the </w:t>
      </w:r>
      <w:proofErr w:type="spellStart"/>
      <w:r>
        <w:rPr>
          <w:rFonts w:ascii="Times New Roman" w:eastAsia="Times New Roman" w:hAnsi="Times New Roman" w:cs="Times New Roman"/>
          <w:i/>
          <w:color w:val="000000"/>
          <w:sz w:val="20"/>
          <w:szCs w:val="20"/>
        </w:rPr>
        <w:t>adoption</w:t>
      </w:r>
      <w:proofErr w:type="spellEnd"/>
      <w:r>
        <w:rPr>
          <w:rFonts w:ascii="Times New Roman" w:eastAsia="Times New Roman" w:hAnsi="Times New Roman" w:cs="Times New Roman"/>
          <w:i/>
          <w:color w:val="000000"/>
          <w:sz w:val="20"/>
          <w:szCs w:val="20"/>
        </w:rPr>
        <w:t xml:space="preserve"> of the CPR </w:t>
      </w:r>
      <w:proofErr w:type="spellStart"/>
      <w:r>
        <w:rPr>
          <w:rFonts w:ascii="Times New Roman" w:eastAsia="Times New Roman" w:hAnsi="Times New Roman" w:cs="Times New Roman"/>
          <w:i/>
          <w:color w:val="000000"/>
          <w:sz w:val="20"/>
          <w:szCs w:val="20"/>
        </w:rPr>
        <w:t>proposal</w:t>
      </w:r>
      <w:proofErr w:type="spellEnd"/>
      <w:r>
        <w:rPr>
          <w:rFonts w:ascii="Times New Roman" w:eastAsia="Times New Roman" w:hAnsi="Times New Roman" w:cs="Times New Roman"/>
          <w:i/>
          <w:color w:val="000000"/>
          <w:sz w:val="20"/>
          <w:szCs w:val="20"/>
        </w:rPr>
        <w:t xml:space="preserve">). </w:t>
      </w:r>
    </w:p>
  </w:footnote>
  <w:footnote w:id="4">
    <w:p w14:paraId="6EFC432E" w14:textId="77777777" w:rsidR="00AE0328" w:rsidRDefault="00AE0328" w:rsidP="00AE0328">
      <w:pPr>
        <w:pBdr>
          <w:top w:val="nil"/>
          <w:left w:val="nil"/>
          <w:bottom w:val="nil"/>
          <w:right w:val="nil"/>
          <w:between w:val="nil"/>
        </w:pBdr>
        <w:spacing w:after="0"/>
        <w:rPr>
          <w:i/>
          <w:color w:val="000000"/>
          <w:sz w:val="20"/>
          <w:szCs w:val="20"/>
        </w:rPr>
      </w:pPr>
      <w:r>
        <w:rPr>
          <w:vertAlign w:val="superscript"/>
        </w:rPr>
        <w:footnoteRef/>
      </w:r>
      <w:r>
        <w:rPr>
          <w:i/>
          <w:color w:val="000000"/>
          <w:sz w:val="20"/>
          <w:szCs w:val="20"/>
        </w:rPr>
        <w:t xml:space="preserve"> </w:t>
      </w:r>
      <w:proofErr w:type="spellStart"/>
      <w:r>
        <w:rPr>
          <w:i/>
          <w:color w:val="000000"/>
          <w:sz w:val="20"/>
          <w:szCs w:val="20"/>
        </w:rPr>
        <w:t>Some</w:t>
      </w:r>
      <w:proofErr w:type="spellEnd"/>
      <w:r>
        <w:rPr>
          <w:i/>
          <w:color w:val="000000"/>
          <w:sz w:val="20"/>
          <w:szCs w:val="20"/>
        </w:rPr>
        <w:t xml:space="preserve"> </w:t>
      </w:r>
      <w:proofErr w:type="spellStart"/>
      <w:r>
        <w:rPr>
          <w:i/>
          <w:color w:val="000000"/>
          <w:sz w:val="20"/>
          <w:szCs w:val="20"/>
        </w:rPr>
        <w:t>modifications</w:t>
      </w:r>
      <w:proofErr w:type="spellEnd"/>
      <w:r>
        <w:rPr>
          <w:i/>
          <w:color w:val="000000"/>
          <w:sz w:val="20"/>
          <w:szCs w:val="20"/>
        </w:rPr>
        <w:t xml:space="preserve"> are </w:t>
      </w:r>
      <w:proofErr w:type="spellStart"/>
      <w:r>
        <w:rPr>
          <w:i/>
          <w:color w:val="000000"/>
          <w:sz w:val="20"/>
          <w:szCs w:val="20"/>
        </w:rPr>
        <w:t>due</w:t>
      </w:r>
      <w:proofErr w:type="spellEnd"/>
      <w:r>
        <w:rPr>
          <w:i/>
          <w:color w:val="000000"/>
          <w:sz w:val="20"/>
          <w:szCs w:val="20"/>
        </w:rPr>
        <w:t xml:space="preserve"> </w:t>
      </w:r>
      <w:proofErr w:type="spellStart"/>
      <w:r>
        <w:rPr>
          <w:i/>
          <w:color w:val="000000"/>
          <w:sz w:val="20"/>
          <w:szCs w:val="20"/>
        </w:rPr>
        <w:t>to</w:t>
      </w:r>
      <w:proofErr w:type="spellEnd"/>
      <w:r>
        <w:rPr>
          <w:i/>
          <w:color w:val="000000"/>
          <w:sz w:val="20"/>
          <w:szCs w:val="20"/>
        </w:rPr>
        <w:t xml:space="preserve"> the </w:t>
      </w:r>
      <w:proofErr w:type="spellStart"/>
      <w:r>
        <w:rPr>
          <w:i/>
          <w:color w:val="000000"/>
          <w:sz w:val="20"/>
          <w:szCs w:val="20"/>
        </w:rPr>
        <w:t>aligment</w:t>
      </w:r>
      <w:proofErr w:type="spellEnd"/>
      <w:r>
        <w:rPr>
          <w:i/>
          <w:color w:val="000000"/>
          <w:sz w:val="20"/>
          <w:szCs w:val="20"/>
        </w:rPr>
        <w:t xml:space="preserve"> </w:t>
      </w:r>
      <w:proofErr w:type="spellStart"/>
      <w:r>
        <w:rPr>
          <w:i/>
          <w:color w:val="000000"/>
          <w:sz w:val="20"/>
          <w:szCs w:val="20"/>
        </w:rPr>
        <w:t>with</w:t>
      </w:r>
      <w:proofErr w:type="spellEnd"/>
      <w:r>
        <w:rPr>
          <w:i/>
          <w:color w:val="000000"/>
          <w:sz w:val="20"/>
          <w:szCs w:val="20"/>
        </w:rPr>
        <w:t xml:space="preserve"> Fund-specific </w:t>
      </w:r>
      <w:proofErr w:type="spellStart"/>
      <w:r>
        <w:rPr>
          <w:i/>
          <w:color w:val="000000"/>
          <w:sz w:val="20"/>
          <w:szCs w:val="20"/>
        </w:rPr>
        <w:t>Regulations</w:t>
      </w:r>
      <w:proofErr w:type="spellEnd"/>
      <w:r>
        <w:rPr>
          <w:i/>
          <w:color w:val="000000"/>
          <w:sz w:val="20"/>
          <w:szCs w:val="20"/>
        </w:rPr>
        <w:t xml:space="preserve"> (</w:t>
      </w:r>
      <w:proofErr w:type="spellStart"/>
      <w:r>
        <w:rPr>
          <w:i/>
          <w:color w:val="000000"/>
          <w:sz w:val="20"/>
          <w:szCs w:val="20"/>
        </w:rPr>
        <w:t>eg</w:t>
      </w:r>
      <w:proofErr w:type="spellEnd"/>
      <w:r>
        <w:rPr>
          <w:i/>
          <w:color w:val="000000"/>
          <w:sz w:val="20"/>
          <w:szCs w:val="20"/>
        </w:rPr>
        <w:t xml:space="preserve">. </w:t>
      </w:r>
      <w:proofErr w:type="spellStart"/>
      <w:r>
        <w:rPr>
          <w:i/>
          <w:color w:val="000000"/>
          <w:sz w:val="20"/>
          <w:szCs w:val="20"/>
        </w:rPr>
        <w:t>change</w:t>
      </w:r>
      <w:proofErr w:type="spellEnd"/>
      <w:r>
        <w:rPr>
          <w:i/>
          <w:color w:val="000000"/>
          <w:sz w:val="20"/>
          <w:szCs w:val="20"/>
        </w:rPr>
        <w:t xml:space="preserve"> of </w:t>
      </w:r>
      <w:proofErr w:type="spellStart"/>
      <w:r>
        <w:rPr>
          <w:i/>
          <w:color w:val="000000"/>
          <w:sz w:val="20"/>
          <w:szCs w:val="20"/>
        </w:rPr>
        <w:t>numbering</w:t>
      </w:r>
      <w:proofErr w:type="spellEnd"/>
      <w:r>
        <w:rPr>
          <w:i/>
          <w:color w:val="000000"/>
          <w:sz w:val="20"/>
          <w:szCs w:val="20"/>
        </w:rPr>
        <w:t xml:space="preserve"> in the Fund-specific </w:t>
      </w:r>
      <w:proofErr w:type="spellStart"/>
      <w:r>
        <w:rPr>
          <w:i/>
          <w:color w:val="000000"/>
          <w:sz w:val="20"/>
          <w:szCs w:val="20"/>
        </w:rPr>
        <w:t>regulations</w:t>
      </w:r>
      <w:proofErr w:type="spellEnd"/>
      <w:r>
        <w:rPr>
          <w:i/>
          <w:color w:val="000000"/>
          <w:sz w:val="20"/>
          <w:szCs w:val="20"/>
        </w:rPr>
        <w:t xml:space="preserve"> </w:t>
      </w:r>
      <w:proofErr w:type="spellStart"/>
      <w:r>
        <w:rPr>
          <w:i/>
          <w:color w:val="000000"/>
          <w:sz w:val="20"/>
          <w:szCs w:val="20"/>
        </w:rPr>
        <w:t>after</w:t>
      </w:r>
      <w:proofErr w:type="spellEnd"/>
      <w:r>
        <w:rPr>
          <w:i/>
          <w:color w:val="000000"/>
          <w:sz w:val="20"/>
          <w:szCs w:val="20"/>
        </w:rPr>
        <w:t xml:space="preserve"> the </w:t>
      </w:r>
      <w:proofErr w:type="spellStart"/>
      <w:r>
        <w:rPr>
          <w:i/>
          <w:color w:val="000000"/>
          <w:sz w:val="20"/>
          <w:szCs w:val="20"/>
        </w:rPr>
        <w:t>adoption</w:t>
      </w:r>
      <w:proofErr w:type="spellEnd"/>
      <w:r>
        <w:rPr>
          <w:i/>
          <w:color w:val="000000"/>
          <w:sz w:val="20"/>
          <w:szCs w:val="20"/>
        </w:rPr>
        <w:t xml:space="preserve"> of the CPR </w:t>
      </w:r>
      <w:proofErr w:type="spellStart"/>
      <w:r>
        <w:rPr>
          <w:i/>
          <w:color w:val="000000"/>
          <w:sz w:val="20"/>
          <w:szCs w:val="20"/>
        </w:rPr>
        <w:t>proposal</w:t>
      </w:r>
      <w:proofErr w:type="spellEnd"/>
      <w:r>
        <w:rPr>
          <w:i/>
          <w:color w:val="000000"/>
          <w:sz w:val="20"/>
          <w:szCs w:val="20"/>
        </w:rPr>
        <w:t>).</w:t>
      </w:r>
    </w:p>
  </w:footnote>
  <w:footnote w:id="5">
    <w:p w14:paraId="6455603D" w14:textId="77777777" w:rsidR="00EA37BF" w:rsidRDefault="00EA37BF" w:rsidP="00EA37BF">
      <w:pPr>
        <w:pBdr>
          <w:top w:val="nil"/>
          <w:left w:val="nil"/>
          <w:bottom w:val="nil"/>
          <w:right w:val="nil"/>
          <w:between w:val="nil"/>
        </w:pBdr>
        <w:spacing w:after="0"/>
        <w:ind w:left="720" w:hanging="720"/>
        <w:rPr>
          <w:i/>
          <w:color w:val="000000"/>
          <w:sz w:val="20"/>
          <w:szCs w:val="20"/>
        </w:rPr>
      </w:pPr>
      <w:r>
        <w:rPr>
          <w:vertAlign w:val="superscript"/>
        </w:rPr>
        <w:footnoteRef/>
      </w:r>
      <w:r>
        <w:rPr>
          <w:i/>
          <w:color w:val="000000"/>
          <w:sz w:val="20"/>
          <w:szCs w:val="20"/>
        </w:rPr>
        <w:t xml:space="preserve"> </w:t>
      </w:r>
      <w:r>
        <w:rPr>
          <w:i/>
          <w:color w:val="000000"/>
          <w:sz w:val="20"/>
          <w:szCs w:val="20"/>
        </w:rPr>
        <w:t xml:space="preserve">The </w:t>
      </w:r>
      <w:proofErr w:type="spellStart"/>
      <w:r>
        <w:rPr>
          <w:i/>
          <w:color w:val="000000"/>
          <w:sz w:val="20"/>
          <w:szCs w:val="20"/>
        </w:rPr>
        <w:t>Council’s</w:t>
      </w:r>
      <w:proofErr w:type="spellEnd"/>
      <w:r>
        <w:rPr>
          <w:i/>
          <w:color w:val="000000"/>
          <w:sz w:val="20"/>
          <w:szCs w:val="20"/>
        </w:rPr>
        <w:t xml:space="preserve"> </w:t>
      </w:r>
      <w:proofErr w:type="spellStart"/>
      <w:r>
        <w:rPr>
          <w:i/>
          <w:color w:val="000000"/>
          <w:sz w:val="20"/>
          <w:szCs w:val="20"/>
        </w:rPr>
        <w:t>partial</w:t>
      </w:r>
      <w:proofErr w:type="spellEnd"/>
      <w:r>
        <w:rPr>
          <w:i/>
          <w:color w:val="000000"/>
          <w:sz w:val="20"/>
          <w:szCs w:val="20"/>
        </w:rPr>
        <w:t xml:space="preserve"> mandate </w:t>
      </w:r>
      <w:proofErr w:type="spellStart"/>
      <w:r>
        <w:rPr>
          <w:i/>
          <w:color w:val="000000"/>
          <w:sz w:val="20"/>
          <w:szCs w:val="20"/>
        </w:rPr>
        <w:t>added</w:t>
      </w:r>
      <w:proofErr w:type="spellEnd"/>
      <w:r>
        <w:rPr>
          <w:i/>
          <w:color w:val="000000"/>
          <w:sz w:val="20"/>
          <w:szCs w:val="20"/>
        </w:rPr>
        <w:t xml:space="preserve"> </w:t>
      </w:r>
      <w:proofErr w:type="spellStart"/>
      <w:r>
        <w:rPr>
          <w:i/>
          <w:color w:val="000000"/>
          <w:sz w:val="20"/>
          <w:szCs w:val="20"/>
        </w:rPr>
        <w:t>this</w:t>
      </w:r>
      <w:proofErr w:type="spellEnd"/>
      <w:r>
        <w:rPr>
          <w:i/>
          <w:color w:val="000000"/>
          <w:sz w:val="20"/>
          <w:szCs w:val="20"/>
        </w:rPr>
        <w:t xml:space="preserve"> </w:t>
      </w:r>
      <w:proofErr w:type="spellStart"/>
      <w:r>
        <w:rPr>
          <w:i/>
          <w:color w:val="000000"/>
          <w:sz w:val="20"/>
          <w:szCs w:val="20"/>
        </w:rPr>
        <w:t>column</w:t>
      </w:r>
      <w:proofErr w:type="spellEnd"/>
      <w:r>
        <w:rPr>
          <w:i/>
          <w:color w:val="000000"/>
          <w:sz w:val="20"/>
          <w:szCs w:val="20"/>
        </w:rPr>
        <w:t>.</w:t>
      </w:r>
    </w:p>
  </w:footnote>
  <w:footnote w:id="6">
    <w:p w14:paraId="3A5A0231" w14:textId="77777777" w:rsidR="00EA37BF" w:rsidRDefault="00EA37BF" w:rsidP="00EA37BF">
      <w:pPr>
        <w:pBdr>
          <w:top w:val="nil"/>
          <w:left w:val="nil"/>
          <w:bottom w:val="nil"/>
          <w:right w:val="nil"/>
          <w:between w:val="nil"/>
        </w:pBdr>
        <w:spacing w:after="0"/>
        <w:ind w:left="720" w:hanging="720"/>
        <w:rPr>
          <w:i/>
          <w:color w:val="000000"/>
          <w:sz w:val="20"/>
          <w:szCs w:val="20"/>
        </w:rPr>
      </w:pPr>
      <w:r>
        <w:rPr>
          <w:vertAlign w:val="superscript"/>
        </w:rPr>
        <w:footnoteRef/>
      </w:r>
      <w:r>
        <w:rPr>
          <w:i/>
          <w:color w:val="000000"/>
          <w:sz w:val="20"/>
          <w:szCs w:val="20"/>
        </w:rPr>
        <w:t xml:space="preserve"> </w:t>
      </w:r>
      <w:r>
        <w:rPr>
          <w:i/>
          <w:color w:val="000000"/>
          <w:sz w:val="20"/>
          <w:szCs w:val="20"/>
        </w:rPr>
        <w:t xml:space="preserve">The </w:t>
      </w:r>
      <w:proofErr w:type="spellStart"/>
      <w:r>
        <w:rPr>
          <w:i/>
          <w:color w:val="000000"/>
          <w:sz w:val="20"/>
          <w:szCs w:val="20"/>
        </w:rPr>
        <w:t>Council’s</w:t>
      </w:r>
      <w:proofErr w:type="spellEnd"/>
      <w:r>
        <w:rPr>
          <w:i/>
          <w:color w:val="000000"/>
          <w:sz w:val="20"/>
          <w:szCs w:val="20"/>
        </w:rPr>
        <w:t xml:space="preserve"> </w:t>
      </w:r>
      <w:proofErr w:type="spellStart"/>
      <w:r>
        <w:rPr>
          <w:i/>
          <w:color w:val="000000"/>
          <w:sz w:val="20"/>
          <w:szCs w:val="20"/>
        </w:rPr>
        <w:t>partial</w:t>
      </w:r>
      <w:proofErr w:type="spellEnd"/>
      <w:r>
        <w:rPr>
          <w:i/>
          <w:color w:val="000000"/>
          <w:sz w:val="20"/>
          <w:szCs w:val="20"/>
        </w:rPr>
        <w:t xml:space="preserve"> mandate </w:t>
      </w:r>
      <w:proofErr w:type="spellStart"/>
      <w:r>
        <w:rPr>
          <w:i/>
          <w:color w:val="000000"/>
          <w:sz w:val="20"/>
          <w:szCs w:val="20"/>
        </w:rPr>
        <w:t>replaced</w:t>
      </w:r>
      <w:proofErr w:type="spellEnd"/>
      <w:r>
        <w:rPr>
          <w:i/>
          <w:color w:val="000000"/>
          <w:sz w:val="20"/>
          <w:szCs w:val="20"/>
        </w:rPr>
        <w:t xml:space="preserve"> the table </w:t>
      </w:r>
      <w:proofErr w:type="spellStart"/>
      <w:r>
        <w:rPr>
          <w:i/>
          <w:color w:val="000000"/>
          <w:sz w:val="20"/>
          <w:szCs w:val="20"/>
        </w:rPr>
        <w:t>with</w:t>
      </w:r>
      <w:proofErr w:type="spellEnd"/>
      <w:r>
        <w:rPr>
          <w:i/>
          <w:color w:val="000000"/>
          <w:sz w:val="20"/>
          <w:szCs w:val="20"/>
        </w:rPr>
        <w:t xml:space="preserve"> a </w:t>
      </w:r>
      <w:proofErr w:type="spellStart"/>
      <w:r>
        <w:rPr>
          <w:i/>
          <w:color w:val="000000"/>
          <w:sz w:val="20"/>
          <w:szCs w:val="20"/>
        </w:rPr>
        <w:t>different</w:t>
      </w:r>
      <w:proofErr w:type="spellEnd"/>
      <w:r>
        <w:rPr>
          <w:i/>
          <w:color w:val="000000"/>
          <w:sz w:val="20"/>
          <w:szCs w:val="20"/>
        </w:rPr>
        <w:t xml:space="preserve"> </w:t>
      </w:r>
      <w:proofErr w:type="spellStart"/>
      <w:r>
        <w:rPr>
          <w:i/>
          <w:color w:val="000000"/>
          <w:sz w:val="20"/>
          <w:szCs w:val="20"/>
        </w:rPr>
        <w:t>one</w:t>
      </w:r>
      <w:proofErr w:type="spellEnd"/>
      <w:r>
        <w:rPr>
          <w:i/>
          <w:color w:val="000000"/>
          <w:sz w:val="20"/>
          <w:szCs w:val="20"/>
        </w:rPr>
        <w:t xml:space="preserve">, in the same </w:t>
      </w:r>
      <w:proofErr w:type="spellStart"/>
      <w:r>
        <w:rPr>
          <w:i/>
          <w:color w:val="000000"/>
          <w:sz w:val="20"/>
          <w:szCs w:val="20"/>
        </w:rPr>
        <w:t>manner</w:t>
      </w:r>
      <w:proofErr w:type="spellEnd"/>
      <w:r>
        <w:rPr>
          <w:i/>
          <w:color w:val="000000"/>
          <w:sz w:val="20"/>
          <w:szCs w:val="20"/>
        </w:rPr>
        <w:t xml:space="preserve"> as in the </w:t>
      </w:r>
      <w:proofErr w:type="spellStart"/>
      <w:r>
        <w:rPr>
          <w:i/>
          <w:color w:val="000000"/>
          <w:sz w:val="20"/>
          <w:szCs w:val="20"/>
        </w:rPr>
        <w:t>Annex</w:t>
      </w:r>
      <w:proofErr w:type="spellEnd"/>
      <w:r>
        <w:rPr>
          <w:i/>
          <w:color w:val="000000"/>
          <w:sz w:val="20"/>
          <w:szCs w:val="20"/>
        </w:rPr>
        <w:t xml:space="preserve"> V.</w:t>
      </w:r>
    </w:p>
  </w:footnote>
  <w:footnote w:id="7">
    <w:p w14:paraId="2A12D936" w14:textId="77777777" w:rsidR="00EA37BF" w:rsidRDefault="00EA37BF" w:rsidP="00EA37BF">
      <w:pPr>
        <w:pBdr>
          <w:top w:val="nil"/>
          <w:left w:val="nil"/>
          <w:bottom w:val="nil"/>
          <w:right w:val="nil"/>
          <w:between w:val="nil"/>
        </w:pBdr>
        <w:spacing w:after="0"/>
        <w:ind w:left="720" w:hanging="720"/>
        <w:rPr>
          <w:i/>
          <w:color w:val="000000"/>
          <w:sz w:val="20"/>
          <w:szCs w:val="20"/>
        </w:rPr>
      </w:pPr>
      <w:r>
        <w:rPr>
          <w:vertAlign w:val="superscript"/>
        </w:rPr>
        <w:footnoteRef/>
      </w:r>
      <w:r>
        <w:rPr>
          <w:i/>
          <w:color w:val="000000"/>
          <w:sz w:val="20"/>
          <w:szCs w:val="20"/>
        </w:rPr>
        <w:t xml:space="preserve"> </w:t>
      </w:r>
      <w:r>
        <w:rPr>
          <w:i/>
          <w:color w:val="000000"/>
          <w:sz w:val="20"/>
          <w:szCs w:val="20"/>
        </w:rPr>
        <w:t xml:space="preserve">The </w:t>
      </w:r>
      <w:proofErr w:type="spellStart"/>
      <w:r>
        <w:rPr>
          <w:i/>
          <w:color w:val="000000"/>
          <w:sz w:val="20"/>
          <w:szCs w:val="20"/>
        </w:rPr>
        <w:t>Council’s</w:t>
      </w:r>
      <w:proofErr w:type="spellEnd"/>
      <w:r>
        <w:rPr>
          <w:i/>
          <w:color w:val="000000"/>
          <w:sz w:val="20"/>
          <w:szCs w:val="20"/>
        </w:rPr>
        <w:t xml:space="preserve"> </w:t>
      </w:r>
      <w:proofErr w:type="spellStart"/>
      <w:r>
        <w:rPr>
          <w:i/>
          <w:color w:val="000000"/>
          <w:sz w:val="20"/>
          <w:szCs w:val="20"/>
        </w:rPr>
        <w:t>partial</w:t>
      </w:r>
      <w:proofErr w:type="spellEnd"/>
      <w:r>
        <w:rPr>
          <w:i/>
          <w:color w:val="000000"/>
          <w:sz w:val="20"/>
          <w:szCs w:val="20"/>
        </w:rPr>
        <w:t xml:space="preserve"> mandate </w:t>
      </w:r>
      <w:proofErr w:type="spellStart"/>
      <w:r>
        <w:rPr>
          <w:i/>
          <w:color w:val="000000"/>
          <w:sz w:val="20"/>
          <w:szCs w:val="20"/>
        </w:rPr>
        <w:t>changed</w:t>
      </w:r>
      <w:proofErr w:type="spellEnd"/>
      <w:r>
        <w:rPr>
          <w:i/>
          <w:color w:val="000000"/>
          <w:sz w:val="20"/>
          <w:szCs w:val="20"/>
        </w:rPr>
        <w:t xml:space="preserve"> the </w:t>
      </w:r>
      <w:proofErr w:type="spellStart"/>
      <w:r>
        <w:rPr>
          <w:i/>
          <w:color w:val="000000"/>
          <w:sz w:val="20"/>
          <w:szCs w:val="20"/>
        </w:rPr>
        <w:t>title</w:t>
      </w:r>
      <w:proofErr w:type="spellEnd"/>
      <w:r>
        <w:rPr>
          <w:i/>
          <w:color w:val="000000"/>
          <w:sz w:val="20"/>
          <w:szCs w:val="20"/>
        </w:rPr>
        <w:t xml:space="preserve"> of the </w:t>
      </w:r>
      <w:proofErr w:type="spellStart"/>
      <w:r>
        <w:rPr>
          <w:i/>
          <w:color w:val="000000"/>
          <w:sz w:val="20"/>
          <w:szCs w:val="20"/>
        </w:rPr>
        <w:t>appendix</w:t>
      </w:r>
      <w:proofErr w:type="spellEnd"/>
      <w:r>
        <w:rPr>
          <w:i/>
          <w:color w:val="000000"/>
          <w:sz w:val="20"/>
          <w:szCs w:val="20"/>
        </w:rPr>
        <w:t xml:space="preserve">, </w:t>
      </w:r>
      <w:proofErr w:type="spellStart"/>
      <w:r>
        <w:rPr>
          <w:i/>
          <w:color w:val="000000"/>
          <w:sz w:val="20"/>
          <w:szCs w:val="20"/>
        </w:rPr>
        <w:t>linked</w:t>
      </w:r>
      <w:proofErr w:type="spellEnd"/>
      <w:r>
        <w:rPr>
          <w:i/>
          <w:color w:val="000000"/>
          <w:sz w:val="20"/>
          <w:szCs w:val="20"/>
        </w:rPr>
        <w:t xml:space="preserve"> </w:t>
      </w:r>
      <w:proofErr w:type="spellStart"/>
      <w:r>
        <w:rPr>
          <w:i/>
          <w:color w:val="000000"/>
          <w:sz w:val="20"/>
          <w:szCs w:val="20"/>
        </w:rPr>
        <w:t>to</w:t>
      </w:r>
      <w:proofErr w:type="spellEnd"/>
      <w:r>
        <w:rPr>
          <w:i/>
          <w:color w:val="000000"/>
          <w:sz w:val="20"/>
          <w:szCs w:val="20"/>
        </w:rPr>
        <w:t xml:space="preserve"> </w:t>
      </w:r>
      <w:proofErr w:type="spellStart"/>
      <w:r>
        <w:rPr>
          <w:i/>
          <w:color w:val="000000"/>
          <w:sz w:val="20"/>
          <w:szCs w:val="20"/>
        </w:rPr>
        <w:t>block</w:t>
      </w:r>
      <w:proofErr w:type="spellEnd"/>
      <w:r>
        <w:rPr>
          <w:i/>
          <w:color w:val="000000"/>
          <w:sz w:val="20"/>
          <w:szCs w:val="20"/>
        </w:rPr>
        <w:t xml:space="preserve"> 6.</w:t>
      </w:r>
    </w:p>
  </w:footnote>
  <w:footnote w:id="8">
    <w:p w14:paraId="3023A411" w14:textId="77777777" w:rsidR="00EA37BF" w:rsidRDefault="00EA37BF" w:rsidP="00EA37BF">
      <w:pPr>
        <w:pBdr>
          <w:top w:val="nil"/>
          <w:left w:val="nil"/>
          <w:bottom w:val="nil"/>
          <w:right w:val="nil"/>
          <w:between w:val="nil"/>
        </w:pBdr>
        <w:spacing w:after="0"/>
        <w:ind w:left="720" w:hanging="720"/>
        <w:rPr>
          <w:i/>
          <w:color w:val="000000"/>
          <w:sz w:val="20"/>
          <w:szCs w:val="20"/>
        </w:rPr>
      </w:pPr>
      <w:r>
        <w:rPr>
          <w:vertAlign w:val="superscript"/>
        </w:rPr>
        <w:footnoteRef/>
      </w:r>
      <w:r>
        <w:rPr>
          <w:i/>
          <w:color w:val="000000"/>
          <w:sz w:val="20"/>
          <w:szCs w:val="20"/>
        </w:rPr>
        <w:t xml:space="preserve"> </w:t>
      </w:r>
      <w:proofErr w:type="spellStart"/>
      <w:r>
        <w:rPr>
          <w:i/>
          <w:color w:val="000000"/>
          <w:sz w:val="20"/>
          <w:szCs w:val="20"/>
        </w:rPr>
        <w:t>Alignment</w:t>
      </w:r>
      <w:proofErr w:type="spellEnd"/>
      <w:r>
        <w:rPr>
          <w:i/>
          <w:color w:val="000000"/>
          <w:sz w:val="20"/>
          <w:szCs w:val="20"/>
        </w:rPr>
        <w:t xml:space="preserve"> </w:t>
      </w:r>
      <w:proofErr w:type="spellStart"/>
      <w:r>
        <w:rPr>
          <w:i/>
          <w:color w:val="000000"/>
          <w:sz w:val="20"/>
          <w:szCs w:val="20"/>
        </w:rPr>
        <w:t>with</w:t>
      </w:r>
      <w:proofErr w:type="spellEnd"/>
      <w:r>
        <w:rPr>
          <w:i/>
          <w:color w:val="000000"/>
          <w:sz w:val="20"/>
          <w:szCs w:val="20"/>
        </w:rPr>
        <w:t xml:space="preserve"> COM </w:t>
      </w:r>
      <w:proofErr w:type="spellStart"/>
      <w:r>
        <w:rPr>
          <w:i/>
          <w:color w:val="000000"/>
          <w:sz w:val="20"/>
          <w:szCs w:val="20"/>
        </w:rPr>
        <w:t>proposal</w:t>
      </w:r>
      <w:proofErr w:type="spellEnd"/>
      <w:r>
        <w:rPr>
          <w:i/>
          <w:color w:val="000000"/>
          <w:sz w:val="20"/>
          <w:szCs w:val="20"/>
        </w:rPr>
        <w:t xml:space="preserve"> for </w:t>
      </w:r>
      <w:proofErr w:type="spellStart"/>
      <w:r>
        <w:rPr>
          <w:i/>
          <w:color w:val="000000"/>
          <w:sz w:val="20"/>
          <w:szCs w:val="20"/>
        </w:rPr>
        <w:t>Annex</w:t>
      </w:r>
      <w:proofErr w:type="spellEnd"/>
      <w:r>
        <w:rPr>
          <w:i/>
          <w:color w:val="000000"/>
          <w:sz w:val="20"/>
          <w:szCs w:val="20"/>
        </w:rPr>
        <w:t xml:space="preserve"> VI</w:t>
      </w:r>
    </w:p>
  </w:footnote>
  <w:footnote w:id="9">
    <w:p w14:paraId="6259E389" w14:textId="77777777" w:rsidR="00EA37BF" w:rsidRDefault="00EA37BF" w:rsidP="00EA37BF">
      <w:pPr>
        <w:pBdr>
          <w:top w:val="nil"/>
          <w:left w:val="nil"/>
          <w:bottom w:val="nil"/>
          <w:right w:val="nil"/>
          <w:between w:val="nil"/>
        </w:pBdr>
        <w:spacing w:after="0"/>
        <w:ind w:left="720" w:hanging="720"/>
        <w:rPr>
          <w:i/>
          <w:color w:val="000000"/>
          <w:sz w:val="20"/>
          <w:szCs w:val="20"/>
        </w:rPr>
      </w:pPr>
      <w:r>
        <w:rPr>
          <w:vertAlign w:val="superscript"/>
        </w:rPr>
        <w:footnoteRef/>
      </w:r>
      <w:r>
        <w:rPr>
          <w:i/>
          <w:color w:val="000000"/>
          <w:sz w:val="20"/>
          <w:szCs w:val="20"/>
        </w:rPr>
        <w:t xml:space="preserve"> </w:t>
      </w:r>
      <w:proofErr w:type="spellStart"/>
      <w:r>
        <w:rPr>
          <w:i/>
          <w:color w:val="000000"/>
          <w:sz w:val="20"/>
          <w:szCs w:val="20"/>
        </w:rPr>
        <w:t>Alignment</w:t>
      </w:r>
      <w:proofErr w:type="spellEnd"/>
      <w:r>
        <w:rPr>
          <w:i/>
          <w:color w:val="000000"/>
          <w:sz w:val="20"/>
          <w:szCs w:val="20"/>
        </w:rPr>
        <w:t xml:space="preserve"> </w:t>
      </w:r>
      <w:proofErr w:type="spellStart"/>
      <w:r>
        <w:rPr>
          <w:i/>
          <w:color w:val="000000"/>
          <w:sz w:val="20"/>
          <w:szCs w:val="20"/>
        </w:rPr>
        <w:t>with</w:t>
      </w:r>
      <w:proofErr w:type="spellEnd"/>
      <w:r>
        <w:rPr>
          <w:i/>
          <w:color w:val="000000"/>
          <w:sz w:val="20"/>
          <w:szCs w:val="20"/>
        </w:rPr>
        <w:t xml:space="preserve"> COM </w:t>
      </w:r>
      <w:proofErr w:type="spellStart"/>
      <w:r>
        <w:rPr>
          <w:i/>
          <w:color w:val="000000"/>
          <w:sz w:val="20"/>
          <w:szCs w:val="20"/>
        </w:rPr>
        <w:t>proposal</w:t>
      </w:r>
      <w:proofErr w:type="spellEnd"/>
      <w:r>
        <w:rPr>
          <w:i/>
          <w:color w:val="000000"/>
          <w:sz w:val="20"/>
          <w:szCs w:val="20"/>
        </w:rPr>
        <w:t xml:space="preserve"> for </w:t>
      </w:r>
      <w:proofErr w:type="spellStart"/>
      <w:r>
        <w:rPr>
          <w:i/>
          <w:color w:val="000000"/>
          <w:sz w:val="20"/>
          <w:szCs w:val="20"/>
        </w:rPr>
        <w:t>Annex</w:t>
      </w:r>
      <w:proofErr w:type="spellEnd"/>
      <w:r>
        <w:rPr>
          <w:i/>
          <w:color w:val="000000"/>
          <w:sz w:val="20"/>
          <w:szCs w:val="20"/>
        </w:rPr>
        <w:t xml:space="preserve"> VI</w:t>
      </w:r>
    </w:p>
    <w:p w14:paraId="2D7AE3ED" w14:textId="77777777" w:rsidR="00EA37BF" w:rsidRDefault="00EA37BF" w:rsidP="00EA37BF">
      <w:pPr>
        <w:pBdr>
          <w:top w:val="nil"/>
          <w:left w:val="nil"/>
          <w:bottom w:val="nil"/>
          <w:right w:val="nil"/>
          <w:between w:val="nil"/>
        </w:pBdr>
        <w:spacing w:after="0"/>
        <w:ind w:left="720" w:hanging="720"/>
        <w:rPr>
          <w:color w:val="000000"/>
          <w:sz w:val="20"/>
          <w:szCs w:val="20"/>
        </w:rPr>
      </w:pPr>
    </w:p>
  </w:footnote>
  <w:footnote w:id="10">
    <w:p w14:paraId="5E86B6D0" w14:textId="77777777" w:rsidR="00EA37BF" w:rsidRDefault="00EA37BF" w:rsidP="00EA37BF">
      <w:pPr>
        <w:pBdr>
          <w:top w:val="nil"/>
          <w:left w:val="nil"/>
          <w:bottom w:val="nil"/>
          <w:right w:val="nil"/>
          <w:between w:val="nil"/>
        </w:pBdr>
        <w:spacing w:after="0"/>
        <w:ind w:left="720" w:hanging="720"/>
        <w:rPr>
          <w:color w:val="000000"/>
          <w:sz w:val="20"/>
          <w:szCs w:val="20"/>
        </w:rPr>
      </w:pPr>
      <w:r>
        <w:rPr>
          <w:vertAlign w:val="superscript"/>
        </w:rPr>
        <w:footnoteRef/>
      </w:r>
      <w:r>
        <w:rPr>
          <w:color w:val="000000"/>
          <w:sz w:val="20"/>
          <w:szCs w:val="20"/>
        </w:rPr>
        <w:t xml:space="preserve"> </w:t>
      </w:r>
      <w:r>
        <w:rPr>
          <w:i/>
          <w:color w:val="000000"/>
          <w:sz w:val="20"/>
          <w:szCs w:val="20"/>
        </w:rPr>
        <w:t xml:space="preserve"> </w:t>
      </w:r>
      <w:r>
        <w:rPr>
          <w:i/>
          <w:color w:val="000000"/>
          <w:sz w:val="20"/>
          <w:szCs w:val="20"/>
        </w:rPr>
        <w:t xml:space="preserve">The </w:t>
      </w:r>
      <w:proofErr w:type="spellStart"/>
      <w:r>
        <w:rPr>
          <w:i/>
          <w:color w:val="000000"/>
          <w:sz w:val="20"/>
          <w:szCs w:val="20"/>
        </w:rPr>
        <w:t>Council’s</w:t>
      </w:r>
      <w:proofErr w:type="spellEnd"/>
      <w:r>
        <w:rPr>
          <w:i/>
          <w:color w:val="000000"/>
          <w:sz w:val="20"/>
          <w:szCs w:val="20"/>
        </w:rPr>
        <w:t xml:space="preserve"> </w:t>
      </w:r>
      <w:proofErr w:type="spellStart"/>
      <w:r>
        <w:rPr>
          <w:i/>
          <w:color w:val="000000"/>
          <w:sz w:val="20"/>
          <w:szCs w:val="20"/>
        </w:rPr>
        <w:t>partial</w:t>
      </w:r>
      <w:proofErr w:type="spellEnd"/>
      <w:r>
        <w:rPr>
          <w:i/>
          <w:color w:val="000000"/>
          <w:sz w:val="20"/>
          <w:szCs w:val="20"/>
        </w:rPr>
        <w:t xml:space="preserve"> mandate </w:t>
      </w:r>
      <w:proofErr w:type="spellStart"/>
      <w:r>
        <w:rPr>
          <w:i/>
          <w:color w:val="000000"/>
          <w:sz w:val="20"/>
          <w:szCs w:val="20"/>
        </w:rPr>
        <w:t>deleted</w:t>
      </w:r>
      <w:proofErr w:type="spellEnd"/>
      <w:r>
        <w:rPr>
          <w:i/>
          <w:color w:val="000000"/>
          <w:sz w:val="20"/>
          <w:szCs w:val="20"/>
        </w:rPr>
        <w:t xml:space="preserve"> the text in [].</w:t>
      </w:r>
    </w:p>
  </w:footnote>
  <w:footnote w:id="11">
    <w:p w14:paraId="712040D8" w14:textId="77777777" w:rsidR="00EA37BF" w:rsidRDefault="00EA37BF" w:rsidP="00EA37BF">
      <w:pPr>
        <w:pBdr>
          <w:top w:val="nil"/>
          <w:left w:val="nil"/>
          <w:bottom w:val="nil"/>
          <w:right w:val="nil"/>
          <w:between w:val="nil"/>
        </w:pBdr>
        <w:spacing w:after="0"/>
        <w:ind w:left="720" w:hanging="720"/>
        <w:rPr>
          <w:color w:val="000000"/>
          <w:sz w:val="20"/>
          <w:szCs w:val="20"/>
        </w:rPr>
      </w:pPr>
      <w:r>
        <w:rPr>
          <w:vertAlign w:val="superscript"/>
        </w:rPr>
        <w:footnoteRef/>
      </w:r>
      <w:r>
        <w:rPr>
          <w:color w:val="000000"/>
          <w:sz w:val="16"/>
          <w:szCs w:val="16"/>
        </w:rPr>
        <w:t xml:space="preserve"> </w:t>
      </w:r>
      <w:proofErr w:type="spellStart"/>
      <w:r>
        <w:rPr>
          <w:color w:val="000000"/>
          <w:sz w:val="16"/>
          <w:szCs w:val="16"/>
        </w:rPr>
        <w:t>Several</w:t>
      </w:r>
      <w:proofErr w:type="spellEnd"/>
      <w:r>
        <w:rPr>
          <w:color w:val="000000"/>
          <w:sz w:val="16"/>
          <w:szCs w:val="16"/>
        </w:rPr>
        <w:t xml:space="preserve"> </w:t>
      </w:r>
      <w:proofErr w:type="spellStart"/>
      <w:r>
        <w:rPr>
          <w:color w:val="000000"/>
          <w:sz w:val="16"/>
          <w:szCs w:val="16"/>
        </w:rPr>
        <w:t>complementary</w:t>
      </w:r>
      <w:proofErr w:type="spellEnd"/>
      <w:r>
        <w:rPr>
          <w:color w:val="000000"/>
          <w:sz w:val="16"/>
          <w:szCs w:val="16"/>
        </w:rPr>
        <w:t xml:space="preserve"> </w:t>
      </w:r>
      <w:proofErr w:type="spellStart"/>
      <w:r>
        <w:rPr>
          <w:i/>
          <w:color w:val="000000"/>
          <w:sz w:val="16"/>
          <w:szCs w:val="16"/>
        </w:rPr>
        <w:t>common</w:t>
      </w:r>
      <w:proofErr w:type="spellEnd"/>
      <w:r>
        <w:rPr>
          <w:color w:val="000000"/>
          <w:sz w:val="16"/>
          <w:szCs w:val="16"/>
        </w:rPr>
        <w:t xml:space="preserve"> </w:t>
      </w:r>
      <w:proofErr w:type="spellStart"/>
      <w:r>
        <w:rPr>
          <w:color w:val="000000"/>
          <w:sz w:val="16"/>
          <w:szCs w:val="16"/>
        </w:rPr>
        <w:t>indicators</w:t>
      </w:r>
      <w:proofErr w:type="spellEnd"/>
      <w:r>
        <w:rPr>
          <w:color w:val="000000"/>
          <w:sz w:val="16"/>
          <w:szCs w:val="16"/>
        </w:rPr>
        <w:t xml:space="preserve"> (for </w:t>
      </w:r>
      <w:proofErr w:type="spellStart"/>
      <w:r>
        <w:rPr>
          <w:color w:val="000000"/>
          <w:sz w:val="16"/>
          <w:szCs w:val="16"/>
        </w:rPr>
        <w:t>instance</w:t>
      </w:r>
      <w:proofErr w:type="spellEnd"/>
      <w:r>
        <w:rPr>
          <w:color w:val="000000"/>
          <w:sz w:val="16"/>
          <w:szCs w:val="16"/>
        </w:rPr>
        <w:t xml:space="preserve"> </w:t>
      </w:r>
      <w:proofErr w:type="spellStart"/>
      <w:r>
        <w:rPr>
          <w:color w:val="000000"/>
          <w:sz w:val="16"/>
          <w:szCs w:val="16"/>
        </w:rPr>
        <w:t>one</w:t>
      </w:r>
      <w:proofErr w:type="spellEnd"/>
      <w:r>
        <w:rPr>
          <w:color w:val="000000"/>
          <w:sz w:val="16"/>
          <w:szCs w:val="16"/>
        </w:rPr>
        <w:t xml:space="preserve"> output indicator </w:t>
      </w:r>
      <w:proofErr w:type="spellStart"/>
      <w:r>
        <w:rPr>
          <w:color w:val="000000"/>
          <w:sz w:val="16"/>
          <w:szCs w:val="16"/>
        </w:rPr>
        <w:t>and</w:t>
      </w:r>
      <w:proofErr w:type="spellEnd"/>
      <w:r>
        <w:rPr>
          <w:color w:val="000000"/>
          <w:sz w:val="16"/>
          <w:szCs w:val="16"/>
        </w:rPr>
        <w:t xml:space="preserve"> </w:t>
      </w:r>
      <w:proofErr w:type="spellStart"/>
      <w:r>
        <w:rPr>
          <w:color w:val="000000"/>
          <w:sz w:val="16"/>
          <w:szCs w:val="16"/>
        </w:rPr>
        <w:t>one</w:t>
      </w:r>
      <w:proofErr w:type="spellEnd"/>
      <w:r>
        <w:rPr>
          <w:color w:val="000000"/>
          <w:sz w:val="16"/>
          <w:szCs w:val="16"/>
        </w:rPr>
        <w:t xml:space="preserve"> </w:t>
      </w:r>
      <w:proofErr w:type="spellStart"/>
      <w:r>
        <w:rPr>
          <w:color w:val="000000"/>
          <w:sz w:val="16"/>
          <w:szCs w:val="16"/>
        </w:rPr>
        <w:t>result</w:t>
      </w:r>
      <w:proofErr w:type="spellEnd"/>
      <w:r>
        <w:rPr>
          <w:color w:val="000000"/>
          <w:sz w:val="16"/>
          <w:szCs w:val="16"/>
        </w:rPr>
        <w:t xml:space="preserve"> indicator) are </w:t>
      </w:r>
      <w:proofErr w:type="spellStart"/>
      <w:r>
        <w:rPr>
          <w:color w:val="000000"/>
          <w:sz w:val="16"/>
          <w:szCs w:val="16"/>
        </w:rPr>
        <w:t>possible</w:t>
      </w:r>
      <w:proofErr w:type="spellEnd"/>
      <w:r>
        <w:rPr>
          <w:color w:val="000000"/>
          <w:sz w:val="16"/>
          <w:szCs w:val="16"/>
        </w:rPr>
        <w:t xml:space="preserve"> for </w:t>
      </w:r>
      <w:proofErr w:type="spellStart"/>
      <w:r>
        <w:rPr>
          <w:color w:val="000000"/>
          <w:sz w:val="16"/>
          <w:szCs w:val="16"/>
        </w:rPr>
        <w:t>one</w:t>
      </w:r>
      <w:proofErr w:type="spellEnd"/>
      <w:r>
        <w:rPr>
          <w:color w:val="000000"/>
          <w:sz w:val="16"/>
          <w:szCs w:val="16"/>
        </w:rPr>
        <w:t xml:space="preserve"> </w:t>
      </w:r>
      <w:proofErr w:type="spellStart"/>
      <w:r>
        <w:rPr>
          <w:color w:val="000000"/>
          <w:sz w:val="16"/>
          <w:szCs w:val="16"/>
        </w:rPr>
        <w:t>type</w:t>
      </w:r>
      <w:proofErr w:type="spellEnd"/>
      <w:r>
        <w:rPr>
          <w:color w:val="000000"/>
          <w:sz w:val="16"/>
          <w:szCs w:val="16"/>
        </w:rPr>
        <w:t xml:space="preserve"> of </w:t>
      </w:r>
      <w:proofErr w:type="spellStart"/>
      <w:r>
        <w:rPr>
          <w:color w:val="000000"/>
          <w:sz w:val="16"/>
          <w:szCs w:val="16"/>
        </w:rPr>
        <w:t>operation</w:t>
      </w:r>
      <w:proofErr w:type="spellEnd"/>
      <w:r>
        <w:rPr>
          <w:color w:val="000000"/>
          <w:sz w:val="16"/>
          <w:szCs w:val="16"/>
        </w:rPr>
        <w:t xml:space="preserve">. In </w:t>
      </w:r>
      <w:proofErr w:type="spellStart"/>
      <w:r>
        <w:rPr>
          <w:color w:val="000000"/>
          <w:sz w:val="16"/>
          <w:szCs w:val="16"/>
        </w:rPr>
        <w:t>these</w:t>
      </w:r>
      <w:proofErr w:type="spellEnd"/>
      <w:r>
        <w:rPr>
          <w:color w:val="000000"/>
          <w:sz w:val="16"/>
          <w:szCs w:val="16"/>
        </w:rPr>
        <w:t xml:space="preserve"> </w:t>
      </w:r>
      <w:proofErr w:type="spellStart"/>
      <w:r>
        <w:rPr>
          <w:color w:val="000000"/>
          <w:sz w:val="16"/>
          <w:szCs w:val="16"/>
        </w:rPr>
        <w:t>cases</w:t>
      </w:r>
      <w:proofErr w:type="spellEnd"/>
      <w:r>
        <w:rPr>
          <w:color w:val="000000"/>
          <w:sz w:val="16"/>
          <w:szCs w:val="16"/>
        </w:rPr>
        <w:t xml:space="preserve">, </w:t>
      </w:r>
      <w:proofErr w:type="spellStart"/>
      <w:r>
        <w:rPr>
          <w:color w:val="000000"/>
          <w:sz w:val="16"/>
          <w:szCs w:val="16"/>
        </w:rPr>
        <w:t>fields</w:t>
      </w:r>
      <w:proofErr w:type="spellEnd"/>
      <w:r>
        <w:rPr>
          <w:color w:val="000000"/>
          <w:sz w:val="16"/>
          <w:szCs w:val="16"/>
        </w:rPr>
        <w:t xml:space="preserve"> 1.3 </w:t>
      </w:r>
      <w:proofErr w:type="spellStart"/>
      <w:r>
        <w:rPr>
          <w:color w:val="000000"/>
          <w:sz w:val="16"/>
          <w:szCs w:val="16"/>
        </w:rPr>
        <w:t>to</w:t>
      </w:r>
      <w:proofErr w:type="spellEnd"/>
      <w:r>
        <w:rPr>
          <w:color w:val="000000"/>
          <w:sz w:val="16"/>
          <w:szCs w:val="16"/>
        </w:rPr>
        <w:t xml:space="preserve"> 1.11 </w:t>
      </w:r>
      <w:proofErr w:type="spellStart"/>
      <w:r>
        <w:rPr>
          <w:color w:val="000000"/>
          <w:sz w:val="16"/>
          <w:szCs w:val="16"/>
        </w:rPr>
        <w:t>should</w:t>
      </w:r>
      <w:proofErr w:type="spellEnd"/>
      <w:r>
        <w:rPr>
          <w:color w:val="000000"/>
          <w:sz w:val="16"/>
          <w:szCs w:val="16"/>
        </w:rPr>
        <w:t xml:space="preserve"> </w:t>
      </w:r>
      <w:proofErr w:type="spellStart"/>
      <w:r>
        <w:rPr>
          <w:color w:val="000000"/>
          <w:sz w:val="16"/>
          <w:szCs w:val="16"/>
        </w:rPr>
        <w:t>be</w:t>
      </w:r>
      <w:proofErr w:type="spellEnd"/>
      <w:r>
        <w:rPr>
          <w:color w:val="000000"/>
          <w:sz w:val="16"/>
          <w:szCs w:val="16"/>
        </w:rPr>
        <w:t xml:space="preserve"> </w:t>
      </w:r>
      <w:proofErr w:type="spellStart"/>
      <w:r>
        <w:rPr>
          <w:color w:val="000000"/>
          <w:sz w:val="16"/>
          <w:szCs w:val="16"/>
        </w:rPr>
        <w:t>filled</w:t>
      </w:r>
      <w:proofErr w:type="spellEnd"/>
      <w:r>
        <w:rPr>
          <w:color w:val="000000"/>
          <w:sz w:val="16"/>
          <w:szCs w:val="16"/>
        </w:rPr>
        <w:t xml:space="preserve"> in for </w:t>
      </w:r>
      <w:proofErr w:type="spellStart"/>
      <w:r>
        <w:rPr>
          <w:color w:val="000000"/>
          <w:sz w:val="16"/>
          <w:szCs w:val="16"/>
        </w:rPr>
        <w:t>each</w:t>
      </w:r>
      <w:proofErr w:type="spellEnd"/>
      <w:r>
        <w:rPr>
          <w:color w:val="000000"/>
          <w:sz w:val="16"/>
          <w:szCs w:val="16"/>
        </w:rPr>
        <w:t xml:space="preserve"> indicator.</w:t>
      </w:r>
    </w:p>
  </w:footnote>
  <w:footnote w:id="12">
    <w:p w14:paraId="7D64A543" w14:textId="77777777" w:rsidR="00EA37BF" w:rsidRDefault="00EA37BF" w:rsidP="00EA37BF">
      <w:pPr>
        <w:pBdr>
          <w:top w:val="nil"/>
          <w:left w:val="nil"/>
          <w:bottom w:val="nil"/>
          <w:right w:val="nil"/>
          <w:between w:val="nil"/>
        </w:pBdr>
        <w:spacing w:after="0"/>
        <w:ind w:left="720" w:hanging="720"/>
        <w:rPr>
          <w:i/>
          <w:color w:val="000000"/>
          <w:sz w:val="20"/>
          <w:szCs w:val="20"/>
        </w:rPr>
      </w:pPr>
      <w:r>
        <w:rPr>
          <w:vertAlign w:val="superscript"/>
        </w:rPr>
        <w:footnoteRef/>
      </w:r>
      <w:r>
        <w:rPr>
          <w:i/>
          <w:color w:val="000000"/>
          <w:sz w:val="20"/>
          <w:szCs w:val="20"/>
        </w:rPr>
        <w:t xml:space="preserve"> </w:t>
      </w:r>
      <w:r>
        <w:rPr>
          <w:i/>
          <w:color w:val="000000"/>
          <w:sz w:val="20"/>
          <w:szCs w:val="20"/>
        </w:rPr>
        <w:t xml:space="preserve">The </w:t>
      </w:r>
      <w:proofErr w:type="spellStart"/>
      <w:r>
        <w:rPr>
          <w:i/>
          <w:color w:val="000000"/>
          <w:sz w:val="20"/>
          <w:szCs w:val="20"/>
        </w:rPr>
        <w:t>Council’s</w:t>
      </w:r>
      <w:proofErr w:type="spellEnd"/>
      <w:r>
        <w:rPr>
          <w:i/>
          <w:color w:val="000000"/>
          <w:sz w:val="20"/>
          <w:szCs w:val="20"/>
        </w:rPr>
        <w:t xml:space="preserve"> </w:t>
      </w:r>
      <w:proofErr w:type="spellStart"/>
      <w:r>
        <w:rPr>
          <w:i/>
          <w:color w:val="000000"/>
          <w:sz w:val="20"/>
          <w:szCs w:val="20"/>
        </w:rPr>
        <w:t>partial</w:t>
      </w:r>
      <w:proofErr w:type="spellEnd"/>
      <w:r>
        <w:rPr>
          <w:i/>
          <w:color w:val="000000"/>
          <w:sz w:val="20"/>
          <w:szCs w:val="20"/>
        </w:rPr>
        <w:t xml:space="preserve"> mandate </w:t>
      </w:r>
      <w:proofErr w:type="spellStart"/>
      <w:r>
        <w:rPr>
          <w:i/>
          <w:color w:val="000000"/>
          <w:sz w:val="20"/>
          <w:szCs w:val="20"/>
        </w:rPr>
        <w:t>amended</w:t>
      </w:r>
      <w:proofErr w:type="spellEnd"/>
      <w:r>
        <w:rPr>
          <w:i/>
          <w:color w:val="000000"/>
          <w:sz w:val="20"/>
          <w:szCs w:val="20"/>
        </w:rPr>
        <w:t xml:space="preserve"> the </w:t>
      </w:r>
      <w:proofErr w:type="spellStart"/>
      <w:r>
        <w:rPr>
          <w:i/>
          <w:color w:val="000000"/>
          <w:sz w:val="20"/>
          <w:szCs w:val="20"/>
        </w:rPr>
        <w:t>title</w:t>
      </w:r>
      <w:proofErr w:type="spellEnd"/>
      <w:r>
        <w:rPr>
          <w:i/>
          <w:color w:val="000000"/>
          <w:sz w:val="20"/>
          <w:szCs w:val="20"/>
        </w:rPr>
        <w:t xml:space="preserve">, </w:t>
      </w:r>
      <w:proofErr w:type="spellStart"/>
      <w:r>
        <w:rPr>
          <w:i/>
          <w:color w:val="000000"/>
          <w:sz w:val="20"/>
          <w:szCs w:val="20"/>
        </w:rPr>
        <w:t>linked</w:t>
      </w:r>
      <w:proofErr w:type="spellEnd"/>
      <w:r>
        <w:rPr>
          <w:i/>
          <w:color w:val="000000"/>
          <w:sz w:val="20"/>
          <w:szCs w:val="20"/>
        </w:rPr>
        <w:t xml:space="preserve"> </w:t>
      </w:r>
      <w:proofErr w:type="spellStart"/>
      <w:r>
        <w:rPr>
          <w:i/>
          <w:color w:val="000000"/>
          <w:sz w:val="20"/>
          <w:szCs w:val="20"/>
        </w:rPr>
        <w:t>to</w:t>
      </w:r>
      <w:proofErr w:type="spellEnd"/>
      <w:r>
        <w:rPr>
          <w:i/>
          <w:color w:val="000000"/>
          <w:sz w:val="20"/>
          <w:szCs w:val="20"/>
        </w:rPr>
        <w:t xml:space="preserve"> </w:t>
      </w:r>
      <w:proofErr w:type="spellStart"/>
      <w:r>
        <w:rPr>
          <w:i/>
          <w:color w:val="000000"/>
          <w:sz w:val="20"/>
          <w:szCs w:val="20"/>
        </w:rPr>
        <w:t>block</w:t>
      </w:r>
      <w:proofErr w:type="spellEnd"/>
      <w:r>
        <w:rPr>
          <w:i/>
          <w:color w:val="000000"/>
          <w:sz w:val="20"/>
          <w:szCs w:val="20"/>
        </w:rPr>
        <w:t xml:space="preserve"> 6.</w:t>
      </w:r>
    </w:p>
  </w:footnote>
  <w:footnote w:id="13">
    <w:p w14:paraId="1924F2DA" w14:textId="77777777" w:rsidR="00EA37BF" w:rsidRDefault="00EA37BF" w:rsidP="00EA37BF">
      <w:pPr>
        <w:pBdr>
          <w:top w:val="nil"/>
          <w:left w:val="nil"/>
          <w:bottom w:val="nil"/>
          <w:right w:val="nil"/>
          <w:between w:val="nil"/>
        </w:pBdr>
        <w:spacing w:after="0"/>
        <w:ind w:left="720" w:hanging="720"/>
        <w:rPr>
          <w:i/>
          <w:color w:val="000000"/>
          <w:sz w:val="20"/>
          <w:szCs w:val="20"/>
        </w:rPr>
      </w:pPr>
      <w:r>
        <w:rPr>
          <w:vertAlign w:val="superscript"/>
        </w:rPr>
        <w:footnoteRef/>
      </w:r>
      <w:r>
        <w:rPr>
          <w:i/>
          <w:color w:val="000000"/>
          <w:sz w:val="20"/>
          <w:szCs w:val="20"/>
        </w:rPr>
        <w:t xml:space="preserve"> </w:t>
      </w:r>
      <w:proofErr w:type="spellStart"/>
      <w:r>
        <w:rPr>
          <w:i/>
          <w:color w:val="000000"/>
          <w:sz w:val="20"/>
          <w:szCs w:val="20"/>
        </w:rPr>
        <w:t>Alignment</w:t>
      </w:r>
      <w:proofErr w:type="spellEnd"/>
      <w:r>
        <w:rPr>
          <w:i/>
          <w:color w:val="000000"/>
          <w:sz w:val="20"/>
          <w:szCs w:val="20"/>
        </w:rPr>
        <w:t xml:space="preserve"> </w:t>
      </w:r>
      <w:proofErr w:type="spellStart"/>
      <w:r>
        <w:rPr>
          <w:i/>
          <w:color w:val="000000"/>
          <w:sz w:val="20"/>
          <w:szCs w:val="20"/>
        </w:rPr>
        <w:t>with</w:t>
      </w:r>
      <w:proofErr w:type="spellEnd"/>
      <w:r>
        <w:rPr>
          <w:i/>
          <w:color w:val="000000"/>
          <w:sz w:val="20"/>
          <w:szCs w:val="20"/>
        </w:rPr>
        <w:t xml:space="preserve"> COM </w:t>
      </w:r>
      <w:proofErr w:type="spellStart"/>
      <w:r>
        <w:rPr>
          <w:i/>
          <w:color w:val="000000"/>
          <w:sz w:val="20"/>
          <w:szCs w:val="20"/>
        </w:rPr>
        <w:t>proposal</w:t>
      </w:r>
      <w:proofErr w:type="spellEnd"/>
      <w:r>
        <w:rPr>
          <w:i/>
          <w:color w:val="000000"/>
          <w:sz w:val="20"/>
          <w:szCs w:val="20"/>
        </w:rPr>
        <w:t xml:space="preserve"> for </w:t>
      </w:r>
      <w:proofErr w:type="spellStart"/>
      <w:r>
        <w:rPr>
          <w:i/>
          <w:color w:val="000000"/>
          <w:sz w:val="20"/>
          <w:szCs w:val="20"/>
        </w:rPr>
        <w:t>Annex</w:t>
      </w:r>
      <w:proofErr w:type="spellEnd"/>
      <w:r>
        <w:rPr>
          <w:i/>
          <w:color w:val="000000"/>
          <w:sz w:val="20"/>
          <w:szCs w:val="20"/>
        </w:rPr>
        <w:t xml:space="preserve"> VI</w:t>
      </w:r>
    </w:p>
  </w:footnote>
  <w:footnote w:id="14">
    <w:p w14:paraId="3985643F" w14:textId="77777777" w:rsidR="00EA37BF" w:rsidRDefault="00EA37BF" w:rsidP="00EA37BF">
      <w:pPr>
        <w:pBdr>
          <w:top w:val="nil"/>
          <w:left w:val="nil"/>
          <w:bottom w:val="nil"/>
          <w:right w:val="nil"/>
          <w:between w:val="nil"/>
        </w:pBdr>
        <w:spacing w:after="0"/>
        <w:ind w:left="720" w:hanging="720"/>
        <w:rPr>
          <w:i/>
          <w:color w:val="000000"/>
          <w:sz w:val="20"/>
          <w:szCs w:val="20"/>
        </w:rPr>
      </w:pPr>
      <w:r>
        <w:rPr>
          <w:vertAlign w:val="superscript"/>
        </w:rPr>
        <w:footnoteRef/>
      </w:r>
      <w:r>
        <w:rPr>
          <w:i/>
          <w:color w:val="000000"/>
          <w:sz w:val="20"/>
          <w:szCs w:val="20"/>
        </w:rPr>
        <w:t xml:space="preserve"> </w:t>
      </w:r>
      <w:proofErr w:type="spellStart"/>
      <w:r>
        <w:rPr>
          <w:i/>
          <w:color w:val="000000"/>
          <w:sz w:val="20"/>
          <w:szCs w:val="20"/>
        </w:rPr>
        <w:t>Alignment</w:t>
      </w:r>
      <w:proofErr w:type="spellEnd"/>
      <w:r>
        <w:rPr>
          <w:i/>
          <w:color w:val="000000"/>
          <w:sz w:val="20"/>
          <w:szCs w:val="20"/>
        </w:rPr>
        <w:t xml:space="preserve"> </w:t>
      </w:r>
      <w:proofErr w:type="spellStart"/>
      <w:r>
        <w:rPr>
          <w:i/>
          <w:color w:val="000000"/>
          <w:sz w:val="20"/>
          <w:szCs w:val="20"/>
        </w:rPr>
        <w:t>with</w:t>
      </w:r>
      <w:proofErr w:type="spellEnd"/>
      <w:r>
        <w:rPr>
          <w:i/>
          <w:color w:val="000000"/>
          <w:sz w:val="20"/>
          <w:szCs w:val="20"/>
        </w:rPr>
        <w:t xml:space="preserve"> COM </w:t>
      </w:r>
      <w:proofErr w:type="spellStart"/>
      <w:r>
        <w:rPr>
          <w:i/>
          <w:color w:val="000000"/>
          <w:sz w:val="20"/>
          <w:szCs w:val="20"/>
        </w:rPr>
        <w:t>proposal</w:t>
      </w:r>
      <w:proofErr w:type="spellEnd"/>
      <w:r>
        <w:rPr>
          <w:i/>
          <w:color w:val="000000"/>
          <w:sz w:val="20"/>
          <w:szCs w:val="20"/>
        </w:rPr>
        <w:t xml:space="preserve"> for </w:t>
      </w:r>
      <w:proofErr w:type="spellStart"/>
      <w:r>
        <w:rPr>
          <w:i/>
          <w:color w:val="000000"/>
          <w:sz w:val="20"/>
          <w:szCs w:val="20"/>
        </w:rPr>
        <w:t>Annex</w:t>
      </w:r>
      <w:proofErr w:type="spellEnd"/>
      <w:r>
        <w:rPr>
          <w:i/>
          <w:color w:val="000000"/>
          <w:sz w:val="20"/>
          <w:szCs w:val="20"/>
        </w:rPr>
        <w:t xml:space="preserve"> VI</w:t>
      </w:r>
    </w:p>
    <w:p w14:paraId="4D639090" w14:textId="77777777" w:rsidR="00EA37BF" w:rsidRDefault="00EA37BF" w:rsidP="00EA37BF">
      <w:pPr>
        <w:pBdr>
          <w:top w:val="nil"/>
          <w:left w:val="nil"/>
          <w:bottom w:val="nil"/>
          <w:right w:val="nil"/>
          <w:between w:val="nil"/>
        </w:pBdr>
        <w:spacing w:after="0"/>
        <w:ind w:left="720" w:hanging="720"/>
        <w:rPr>
          <w:color w:val="000000"/>
          <w:sz w:val="20"/>
          <w:szCs w:val="20"/>
        </w:rPr>
      </w:pPr>
    </w:p>
  </w:footnote>
  <w:footnote w:id="15">
    <w:p w14:paraId="7FADCFAE" w14:textId="77777777" w:rsidR="00EA37BF" w:rsidRDefault="00EA37BF" w:rsidP="00EA37BF">
      <w:pPr>
        <w:pBdr>
          <w:top w:val="nil"/>
          <w:left w:val="nil"/>
          <w:bottom w:val="nil"/>
          <w:right w:val="nil"/>
          <w:between w:val="nil"/>
        </w:pBdr>
        <w:spacing w:after="0"/>
        <w:ind w:left="720" w:hanging="720"/>
        <w:rPr>
          <w:b/>
          <w:i/>
          <w:color w:val="000000"/>
          <w:sz w:val="20"/>
          <w:szCs w:val="20"/>
          <w:u w:val="single"/>
        </w:rPr>
      </w:pPr>
      <w:r>
        <w:rPr>
          <w:vertAlign w:val="superscript"/>
        </w:rPr>
        <w:footnoteRef/>
      </w:r>
      <w:r>
        <w:rPr>
          <w:i/>
          <w:color w:val="000000"/>
          <w:sz w:val="20"/>
          <w:szCs w:val="20"/>
        </w:rPr>
        <w:t xml:space="preserve"> </w:t>
      </w:r>
      <w:r>
        <w:rPr>
          <w:i/>
          <w:color w:val="000000"/>
          <w:sz w:val="20"/>
          <w:szCs w:val="20"/>
        </w:rPr>
        <w:t xml:space="preserve">The Council </w:t>
      </w:r>
      <w:proofErr w:type="spellStart"/>
      <w:r>
        <w:rPr>
          <w:i/>
          <w:color w:val="000000"/>
          <w:sz w:val="20"/>
          <w:szCs w:val="20"/>
        </w:rPr>
        <w:t>partial</w:t>
      </w:r>
      <w:proofErr w:type="spellEnd"/>
      <w:r>
        <w:rPr>
          <w:i/>
          <w:color w:val="000000"/>
          <w:sz w:val="20"/>
          <w:szCs w:val="20"/>
        </w:rPr>
        <w:t xml:space="preserve"> mandate </w:t>
      </w:r>
      <w:proofErr w:type="spellStart"/>
      <w:r>
        <w:rPr>
          <w:i/>
          <w:color w:val="000000"/>
          <w:sz w:val="20"/>
          <w:szCs w:val="20"/>
        </w:rPr>
        <w:t>added</w:t>
      </w:r>
      <w:proofErr w:type="spellEnd"/>
      <w:r>
        <w:rPr>
          <w:i/>
          <w:color w:val="000000"/>
          <w:sz w:val="20"/>
          <w:szCs w:val="20"/>
        </w:rPr>
        <w:t xml:space="preserve"> </w:t>
      </w:r>
      <w:proofErr w:type="spellStart"/>
      <w:r>
        <w:rPr>
          <w:i/>
          <w:color w:val="000000"/>
          <w:sz w:val="20"/>
          <w:szCs w:val="20"/>
        </w:rPr>
        <w:t>this</w:t>
      </w:r>
      <w:proofErr w:type="spellEnd"/>
      <w:r>
        <w:rPr>
          <w:i/>
          <w:color w:val="000000"/>
          <w:sz w:val="20"/>
          <w:szCs w:val="20"/>
        </w:rPr>
        <w:t xml:space="preserve"> </w:t>
      </w:r>
      <w:proofErr w:type="spellStart"/>
      <w:r>
        <w:rPr>
          <w:i/>
          <w:color w:val="000000"/>
          <w:sz w:val="20"/>
          <w:szCs w:val="20"/>
        </w:rPr>
        <w:t>column</w:t>
      </w:r>
      <w:proofErr w:type="spellEnd"/>
      <w:r>
        <w:rPr>
          <w:i/>
          <w:color w:val="000000"/>
          <w:sz w:val="20"/>
          <w:szCs w:val="20"/>
        </w:rPr>
        <w:t>.</w:t>
      </w:r>
    </w:p>
  </w:footnote>
  <w:footnote w:id="16">
    <w:p w14:paraId="4A055194" w14:textId="77777777" w:rsidR="00EA37BF" w:rsidRDefault="00EA37BF" w:rsidP="00EA37BF">
      <w:pPr>
        <w:pBdr>
          <w:top w:val="nil"/>
          <w:left w:val="nil"/>
          <w:bottom w:val="nil"/>
          <w:right w:val="nil"/>
          <w:between w:val="nil"/>
        </w:pBdr>
        <w:spacing w:after="0"/>
        <w:ind w:left="720" w:hanging="720"/>
        <w:rPr>
          <w:i/>
          <w:color w:val="000000"/>
          <w:sz w:val="20"/>
          <w:szCs w:val="20"/>
        </w:rPr>
      </w:pPr>
      <w:r>
        <w:rPr>
          <w:vertAlign w:val="superscript"/>
        </w:rPr>
        <w:footnoteRef/>
      </w:r>
      <w:r>
        <w:rPr>
          <w:i/>
          <w:color w:val="000000"/>
          <w:sz w:val="20"/>
          <w:szCs w:val="20"/>
        </w:rPr>
        <w:t xml:space="preserve"> </w:t>
      </w:r>
      <w:proofErr w:type="spellStart"/>
      <w:r>
        <w:rPr>
          <w:i/>
          <w:color w:val="000000"/>
          <w:sz w:val="20"/>
          <w:szCs w:val="20"/>
        </w:rPr>
        <w:t>Alignment</w:t>
      </w:r>
      <w:proofErr w:type="spellEnd"/>
      <w:r>
        <w:rPr>
          <w:i/>
          <w:color w:val="000000"/>
          <w:sz w:val="20"/>
          <w:szCs w:val="20"/>
        </w:rPr>
        <w:t xml:space="preserve"> </w:t>
      </w:r>
      <w:proofErr w:type="spellStart"/>
      <w:r>
        <w:rPr>
          <w:i/>
          <w:color w:val="000000"/>
          <w:sz w:val="20"/>
          <w:szCs w:val="20"/>
        </w:rPr>
        <w:t>to</w:t>
      </w:r>
      <w:proofErr w:type="spellEnd"/>
      <w:r>
        <w:rPr>
          <w:i/>
          <w:color w:val="000000"/>
          <w:sz w:val="20"/>
          <w:szCs w:val="20"/>
        </w:rPr>
        <w:t xml:space="preserve"> </w:t>
      </w:r>
      <w:proofErr w:type="spellStart"/>
      <w:r>
        <w:rPr>
          <w:i/>
          <w:color w:val="000000"/>
          <w:sz w:val="20"/>
          <w:szCs w:val="20"/>
        </w:rPr>
        <w:t>Annex</w:t>
      </w:r>
      <w:proofErr w:type="spellEnd"/>
      <w:r>
        <w:rPr>
          <w:i/>
          <w:color w:val="000000"/>
          <w:sz w:val="20"/>
          <w:szCs w:val="20"/>
        </w:rPr>
        <w:t xml:space="preserve"> VI</w:t>
      </w:r>
    </w:p>
  </w:footnote>
  <w:footnote w:id="17">
    <w:p w14:paraId="49176EE9" w14:textId="77777777" w:rsidR="00EA37BF" w:rsidRDefault="00EA37BF" w:rsidP="00EA37BF">
      <w:pPr>
        <w:pBdr>
          <w:top w:val="nil"/>
          <w:left w:val="nil"/>
          <w:bottom w:val="nil"/>
          <w:right w:val="nil"/>
          <w:between w:val="nil"/>
        </w:pBdr>
        <w:spacing w:after="0"/>
        <w:rPr>
          <w:b/>
          <w:i/>
          <w:color w:val="000000"/>
          <w:sz w:val="20"/>
          <w:szCs w:val="20"/>
          <w:u w:val="single"/>
        </w:rPr>
      </w:pPr>
      <w:r>
        <w:rPr>
          <w:vertAlign w:val="superscript"/>
        </w:rPr>
        <w:footnoteRef/>
      </w:r>
      <w:r>
        <w:rPr>
          <w:i/>
          <w:color w:val="000000"/>
          <w:sz w:val="20"/>
          <w:szCs w:val="20"/>
        </w:rPr>
        <w:t xml:space="preserve"> </w:t>
      </w:r>
      <w:r>
        <w:rPr>
          <w:i/>
          <w:color w:val="000000"/>
          <w:sz w:val="20"/>
          <w:szCs w:val="20"/>
        </w:rPr>
        <w:t xml:space="preserve">The </w:t>
      </w:r>
      <w:proofErr w:type="spellStart"/>
      <w:r>
        <w:rPr>
          <w:i/>
          <w:color w:val="000000"/>
          <w:sz w:val="20"/>
          <w:szCs w:val="20"/>
        </w:rPr>
        <w:t>Council’s</w:t>
      </w:r>
      <w:proofErr w:type="spellEnd"/>
      <w:r>
        <w:rPr>
          <w:i/>
          <w:color w:val="000000"/>
          <w:sz w:val="20"/>
          <w:szCs w:val="20"/>
        </w:rPr>
        <w:t xml:space="preserve"> </w:t>
      </w:r>
      <w:proofErr w:type="spellStart"/>
      <w:r>
        <w:rPr>
          <w:i/>
          <w:color w:val="000000"/>
          <w:sz w:val="20"/>
          <w:szCs w:val="20"/>
        </w:rPr>
        <w:t>partial</w:t>
      </w:r>
      <w:proofErr w:type="spellEnd"/>
      <w:r>
        <w:rPr>
          <w:i/>
          <w:color w:val="000000"/>
          <w:sz w:val="20"/>
          <w:szCs w:val="20"/>
        </w:rPr>
        <w:t xml:space="preserve"> mandate </w:t>
      </w:r>
      <w:proofErr w:type="spellStart"/>
      <w:r>
        <w:rPr>
          <w:i/>
          <w:color w:val="000000"/>
          <w:sz w:val="20"/>
          <w:szCs w:val="20"/>
        </w:rPr>
        <w:t>added</w:t>
      </w:r>
      <w:proofErr w:type="spellEnd"/>
      <w:r>
        <w:rPr>
          <w:i/>
          <w:color w:val="000000"/>
          <w:sz w:val="20"/>
          <w:szCs w:val="20"/>
        </w:rPr>
        <w:t xml:space="preserve"> </w:t>
      </w:r>
      <w:proofErr w:type="spellStart"/>
      <w:r>
        <w:rPr>
          <w:i/>
          <w:color w:val="000000"/>
          <w:sz w:val="20"/>
          <w:szCs w:val="20"/>
        </w:rPr>
        <w:t>point</w:t>
      </w:r>
      <w:proofErr w:type="spellEnd"/>
      <w:r>
        <w:rPr>
          <w:i/>
          <w:color w:val="000000"/>
          <w:sz w:val="20"/>
          <w:szCs w:val="20"/>
        </w:rPr>
        <w:t xml:space="preserve"> 1.10a, </w:t>
      </w:r>
      <w:proofErr w:type="spellStart"/>
      <w:r>
        <w:rPr>
          <w:i/>
          <w:color w:val="000000"/>
          <w:sz w:val="20"/>
          <w:szCs w:val="20"/>
        </w:rPr>
        <w:t>which</w:t>
      </w:r>
      <w:proofErr w:type="spellEnd"/>
      <w:r>
        <w:rPr>
          <w:i/>
          <w:color w:val="000000"/>
          <w:sz w:val="20"/>
          <w:szCs w:val="20"/>
        </w:rPr>
        <w:t xml:space="preserve"> COM </w:t>
      </w:r>
      <w:proofErr w:type="spellStart"/>
      <w:r>
        <w:rPr>
          <w:i/>
          <w:color w:val="000000"/>
          <w:sz w:val="20"/>
          <w:szCs w:val="20"/>
        </w:rPr>
        <w:t>is</w:t>
      </w:r>
      <w:proofErr w:type="spellEnd"/>
      <w:r>
        <w:rPr>
          <w:i/>
          <w:color w:val="000000"/>
          <w:sz w:val="20"/>
          <w:szCs w:val="20"/>
        </w:rPr>
        <w:t xml:space="preserve"> </w:t>
      </w:r>
      <w:proofErr w:type="spellStart"/>
      <w:r>
        <w:rPr>
          <w:i/>
          <w:color w:val="000000"/>
          <w:sz w:val="20"/>
          <w:szCs w:val="20"/>
        </w:rPr>
        <w:t>proposing</w:t>
      </w:r>
      <w:proofErr w:type="spellEnd"/>
      <w:r>
        <w:rPr>
          <w:i/>
          <w:color w:val="000000"/>
          <w:sz w:val="20"/>
          <w:szCs w:val="20"/>
        </w:rPr>
        <w:t xml:space="preserve"> </w:t>
      </w:r>
      <w:proofErr w:type="spellStart"/>
      <w:r>
        <w:rPr>
          <w:i/>
          <w:color w:val="000000"/>
          <w:sz w:val="20"/>
          <w:szCs w:val="20"/>
        </w:rPr>
        <w:t>to</w:t>
      </w:r>
      <w:proofErr w:type="spellEnd"/>
      <w:r>
        <w:rPr>
          <w:i/>
          <w:color w:val="000000"/>
          <w:sz w:val="20"/>
          <w:szCs w:val="20"/>
        </w:rPr>
        <w:t xml:space="preserve"> </w:t>
      </w:r>
      <w:proofErr w:type="spellStart"/>
      <w:r>
        <w:rPr>
          <w:i/>
          <w:color w:val="000000"/>
          <w:sz w:val="20"/>
          <w:szCs w:val="20"/>
        </w:rPr>
        <w:t>amend</w:t>
      </w:r>
      <w:proofErr w:type="spellEnd"/>
      <w:r>
        <w:rPr>
          <w:i/>
          <w:color w:val="000000"/>
          <w:sz w:val="20"/>
          <w:szCs w:val="20"/>
        </w:rPr>
        <w:t xml:space="preserve"> in </w:t>
      </w:r>
      <w:proofErr w:type="spellStart"/>
      <w:r>
        <w:rPr>
          <w:i/>
          <w:color w:val="000000"/>
          <w:sz w:val="20"/>
          <w:szCs w:val="20"/>
        </w:rPr>
        <w:t>order</w:t>
      </w:r>
      <w:proofErr w:type="spellEnd"/>
      <w:r>
        <w:rPr>
          <w:i/>
          <w:color w:val="000000"/>
          <w:sz w:val="20"/>
          <w:szCs w:val="20"/>
        </w:rPr>
        <w:t xml:space="preserve"> </w:t>
      </w:r>
      <w:proofErr w:type="spellStart"/>
      <w:r>
        <w:rPr>
          <w:i/>
          <w:color w:val="000000"/>
          <w:sz w:val="20"/>
          <w:szCs w:val="20"/>
        </w:rPr>
        <w:t>to</w:t>
      </w:r>
      <w:proofErr w:type="spellEnd"/>
      <w:r>
        <w:rPr>
          <w:i/>
          <w:color w:val="000000"/>
          <w:sz w:val="20"/>
          <w:szCs w:val="20"/>
        </w:rPr>
        <w:t xml:space="preserve"> </w:t>
      </w:r>
      <w:proofErr w:type="spellStart"/>
      <w:r>
        <w:rPr>
          <w:i/>
          <w:color w:val="000000"/>
          <w:sz w:val="20"/>
          <w:szCs w:val="20"/>
        </w:rPr>
        <w:t>improve</w:t>
      </w:r>
      <w:proofErr w:type="spellEnd"/>
      <w:r>
        <w:rPr>
          <w:i/>
          <w:color w:val="000000"/>
          <w:sz w:val="20"/>
          <w:szCs w:val="20"/>
        </w:rPr>
        <w:t xml:space="preserve"> </w:t>
      </w:r>
      <w:proofErr w:type="spellStart"/>
      <w:r>
        <w:rPr>
          <w:i/>
          <w:color w:val="000000"/>
          <w:sz w:val="20"/>
          <w:szCs w:val="20"/>
        </w:rPr>
        <w:t>clarity</w:t>
      </w:r>
      <w:proofErr w:type="spellEnd"/>
      <w:r>
        <w:rPr>
          <w:i/>
          <w:color w:val="000000"/>
          <w:sz w:val="20"/>
          <w:szCs w:val="20"/>
        </w:rPr>
        <w:t>.</w:t>
      </w:r>
    </w:p>
  </w:footnote>
  <w:footnote w:id="18">
    <w:p w14:paraId="2306B9D0" w14:textId="77777777" w:rsidR="00EA37BF" w:rsidRDefault="00EA37BF" w:rsidP="00EA37BF">
      <w:pPr>
        <w:pBdr>
          <w:top w:val="nil"/>
          <w:left w:val="nil"/>
          <w:bottom w:val="nil"/>
          <w:right w:val="nil"/>
          <w:between w:val="nil"/>
        </w:pBdr>
        <w:spacing w:after="0"/>
        <w:ind w:left="720" w:hanging="720"/>
        <w:rPr>
          <w:color w:val="000000"/>
          <w:sz w:val="20"/>
          <w:szCs w:val="20"/>
        </w:rPr>
      </w:pPr>
      <w:r>
        <w:rPr>
          <w:vertAlign w:val="superscript"/>
        </w:rPr>
        <w:footnoteRef/>
      </w:r>
      <w:r>
        <w:rPr>
          <w:color w:val="000000"/>
          <w:sz w:val="20"/>
          <w:szCs w:val="20"/>
        </w:rPr>
        <w:t xml:space="preserve"> </w:t>
      </w:r>
      <w:proofErr w:type="spellStart"/>
      <w:r>
        <w:rPr>
          <w:i/>
          <w:color w:val="000000"/>
          <w:sz w:val="20"/>
          <w:szCs w:val="20"/>
        </w:rPr>
        <w:t>Pending</w:t>
      </w:r>
      <w:proofErr w:type="spellEnd"/>
      <w:r>
        <w:rPr>
          <w:i/>
          <w:color w:val="000000"/>
          <w:sz w:val="20"/>
          <w:szCs w:val="20"/>
        </w:rPr>
        <w:t xml:space="preserve"> </w:t>
      </w:r>
      <w:proofErr w:type="spellStart"/>
      <w:r>
        <w:rPr>
          <w:i/>
          <w:color w:val="000000"/>
          <w:sz w:val="20"/>
          <w:szCs w:val="20"/>
        </w:rPr>
        <w:t>agreed</w:t>
      </w:r>
      <w:proofErr w:type="spellEnd"/>
      <w:r>
        <w:rPr>
          <w:i/>
          <w:color w:val="000000"/>
          <w:sz w:val="20"/>
          <w:szCs w:val="20"/>
        </w:rPr>
        <w:t xml:space="preserve"> </w:t>
      </w:r>
      <w:proofErr w:type="spellStart"/>
      <w:r>
        <w:rPr>
          <w:i/>
          <w:color w:val="000000"/>
          <w:sz w:val="20"/>
          <w:szCs w:val="20"/>
        </w:rPr>
        <w:t>approach</w:t>
      </w:r>
      <w:proofErr w:type="spellEnd"/>
      <w:r>
        <w:rPr>
          <w:i/>
          <w:color w:val="000000"/>
          <w:sz w:val="20"/>
          <w:szCs w:val="20"/>
        </w:rPr>
        <w:t xml:space="preserve"> </w:t>
      </w:r>
      <w:proofErr w:type="spellStart"/>
      <w:r>
        <w:rPr>
          <w:i/>
          <w:color w:val="000000"/>
          <w:sz w:val="20"/>
          <w:szCs w:val="20"/>
        </w:rPr>
        <w:t>to</w:t>
      </w:r>
      <w:proofErr w:type="spellEnd"/>
      <w:r>
        <w:rPr>
          <w:i/>
          <w:color w:val="000000"/>
          <w:sz w:val="20"/>
          <w:szCs w:val="20"/>
        </w:rPr>
        <w:t xml:space="preserve"> the </w:t>
      </w:r>
      <w:proofErr w:type="spellStart"/>
      <w:r>
        <w:rPr>
          <w:i/>
          <w:color w:val="000000"/>
          <w:sz w:val="20"/>
          <w:szCs w:val="20"/>
        </w:rPr>
        <w:t>thematic</w:t>
      </w:r>
      <w:proofErr w:type="spellEnd"/>
      <w:r>
        <w:rPr>
          <w:i/>
          <w:color w:val="000000"/>
          <w:sz w:val="20"/>
          <w:szCs w:val="20"/>
        </w:rPr>
        <w:t xml:space="preserve"> </w:t>
      </w:r>
      <w:proofErr w:type="spellStart"/>
      <w:r>
        <w:rPr>
          <w:i/>
          <w:color w:val="000000"/>
          <w:sz w:val="20"/>
          <w:szCs w:val="20"/>
        </w:rPr>
        <w:t>facility</w:t>
      </w:r>
      <w:proofErr w:type="spellEnd"/>
      <w:r>
        <w:rPr>
          <w:i/>
          <w:color w:val="000000"/>
          <w:sz w:val="20"/>
          <w:szCs w:val="20"/>
        </w:rPr>
        <w:t xml:space="preserve"> </w:t>
      </w:r>
      <w:proofErr w:type="spellStart"/>
      <w:r>
        <w:rPr>
          <w:i/>
          <w:color w:val="000000"/>
          <w:sz w:val="20"/>
          <w:szCs w:val="20"/>
        </w:rPr>
        <w:t>under</w:t>
      </w:r>
      <w:proofErr w:type="spellEnd"/>
      <w:r>
        <w:rPr>
          <w:i/>
          <w:color w:val="000000"/>
          <w:sz w:val="20"/>
          <w:szCs w:val="20"/>
        </w:rPr>
        <w:t xml:space="preserve"> Fund-specific </w:t>
      </w:r>
      <w:proofErr w:type="spellStart"/>
      <w:r>
        <w:rPr>
          <w:i/>
          <w:color w:val="000000"/>
          <w:sz w:val="20"/>
          <w:szCs w:val="20"/>
        </w:rPr>
        <w:t>Regulations</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4AE52" w14:textId="77777777" w:rsidR="00EA37BF" w:rsidRDefault="00EA37BF">
    <w:pPr>
      <w:pBdr>
        <w:top w:val="nil"/>
        <w:left w:val="nil"/>
        <w:bottom w:val="nil"/>
        <w:right w:val="nil"/>
        <w:between w:val="nil"/>
      </w:pBdr>
      <w:tabs>
        <w:tab w:val="center" w:pos="4535"/>
        <w:tab w:val="right" w:pos="9071"/>
      </w:tabs>
      <w:rPr>
        <w:color w:val="000000"/>
      </w:rPr>
    </w:pPr>
    <w:r>
      <w:rPr>
        <w:noProof/>
      </w:rPr>
      <w:pict w14:anchorId="541319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85" o:spid="_x0000_s2068" type="#_x0000_t136" style="position:absolute;margin-left:0;margin-top:0;width:485.3pt;height:194.1pt;rotation:315;z-index:-251613184;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4A5C3" w14:textId="77777777" w:rsidR="00EA37BF" w:rsidRDefault="00EA37BF">
    <w:pPr>
      <w:pBdr>
        <w:top w:val="nil"/>
        <w:left w:val="nil"/>
        <w:bottom w:val="nil"/>
        <w:right w:val="nil"/>
        <w:between w:val="nil"/>
      </w:pBdr>
      <w:tabs>
        <w:tab w:val="center" w:pos="4535"/>
        <w:tab w:val="right" w:pos="9071"/>
      </w:tabs>
      <w:rPr>
        <w:color w:val="000000"/>
      </w:rPr>
    </w:pPr>
    <w:r>
      <w:rPr>
        <w:noProof/>
      </w:rPr>
      <w:pict w14:anchorId="189C6B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94" o:spid="_x0000_s2077" type="#_x0000_t136" style="position:absolute;margin-left:0;margin-top:0;width:485.3pt;height:194.1pt;rotation:315;z-index:-251603968;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C6C0D" w14:textId="77777777" w:rsidR="00EA37BF" w:rsidRDefault="00EA37BF">
    <w:pPr>
      <w:pBdr>
        <w:top w:val="nil"/>
        <w:left w:val="nil"/>
        <w:bottom w:val="nil"/>
        <w:right w:val="nil"/>
        <w:between w:val="nil"/>
      </w:pBdr>
      <w:tabs>
        <w:tab w:val="center" w:pos="4535"/>
        <w:tab w:val="right" w:pos="9071"/>
      </w:tabs>
      <w:rPr>
        <w:color w:val="000000"/>
      </w:rPr>
    </w:pPr>
    <w:r>
      <w:rPr>
        <w:noProof/>
      </w:rPr>
      <w:pict w14:anchorId="43C1A3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95" o:spid="_x0000_s2078" type="#_x0000_t136" style="position:absolute;margin-left:0;margin-top:0;width:485.3pt;height:194.1pt;rotation:315;z-index:-251602944;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E45B3" w14:textId="77777777" w:rsidR="00EA37BF" w:rsidRDefault="00EA37BF">
    <w:pPr>
      <w:pBdr>
        <w:top w:val="nil"/>
        <w:left w:val="nil"/>
        <w:bottom w:val="nil"/>
        <w:right w:val="nil"/>
        <w:between w:val="nil"/>
      </w:pBdr>
      <w:tabs>
        <w:tab w:val="center" w:pos="7285"/>
        <w:tab w:val="right" w:pos="14003"/>
      </w:tabs>
      <w:rPr>
        <w:color w:val="000000"/>
      </w:rPr>
    </w:pPr>
    <w:r>
      <w:rPr>
        <w:noProof/>
      </w:rPr>
      <w:pict w14:anchorId="76B24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93" o:spid="_x0000_s2076" type="#_x0000_t136" style="position:absolute;margin-left:0;margin-top:0;width:485.3pt;height:194.1pt;rotation:315;z-index:-251604992;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CE634" w14:textId="77777777" w:rsidR="00EA37BF" w:rsidRDefault="00EA37BF">
    <w:pPr>
      <w:pBdr>
        <w:top w:val="nil"/>
        <w:left w:val="nil"/>
        <w:bottom w:val="nil"/>
        <w:right w:val="nil"/>
        <w:between w:val="nil"/>
      </w:pBdr>
      <w:tabs>
        <w:tab w:val="center" w:pos="4535"/>
        <w:tab w:val="right" w:pos="9071"/>
      </w:tabs>
      <w:rPr>
        <w:color w:val="000000"/>
      </w:rPr>
    </w:pPr>
    <w:r>
      <w:rPr>
        <w:noProof/>
      </w:rPr>
      <w:pict w14:anchorId="303DC3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97" o:spid="_x0000_s2080" type="#_x0000_t136" style="position:absolute;margin-left:0;margin-top:0;width:485.3pt;height:194.1pt;rotation:315;z-index:-251600896;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58871" w14:textId="77777777" w:rsidR="00EA37BF" w:rsidRDefault="00EA37BF">
    <w:pPr>
      <w:pBdr>
        <w:top w:val="nil"/>
        <w:left w:val="nil"/>
        <w:bottom w:val="nil"/>
        <w:right w:val="nil"/>
        <w:between w:val="nil"/>
      </w:pBdr>
      <w:tabs>
        <w:tab w:val="center" w:pos="7285"/>
        <w:tab w:val="right" w:pos="14003"/>
      </w:tabs>
      <w:rPr>
        <w:color w:val="000000"/>
      </w:rPr>
    </w:pPr>
    <w:r>
      <w:rPr>
        <w:noProof/>
      </w:rPr>
      <w:pict w14:anchorId="4C8276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98" o:spid="_x0000_s2081" type="#_x0000_t136" style="position:absolute;margin-left:0;margin-top:0;width:485.3pt;height:194.1pt;rotation:315;z-index:-251599872;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E7995" w14:textId="77777777" w:rsidR="00EA37BF" w:rsidRDefault="00EA37BF">
    <w:pPr>
      <w:pBdr>
        <w:top w:val="nil"/>
        <w:left w:val="nil"/>
        <w:bottom w:val="nil"/>
        <w:right w:val="nil"/>
        <w:between w:val="nil"/>
      </w:pBdr>
      <w:tabs>
        <w:tab w:val="center" w:pos="7285"/>
        <w:tab w:val="right" w:pos="14003"/>
      </w:tabs>
      <w:rPr>
        <w:color w:val="000000"/>
      </w:rPr>
    </w:pPr>
    <w:r>
      <w:rPr>
        <w:noProof/>
      </w:rPr>
      <w:pict w14:anchorId="441059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96" o:spid="_x0000_s2079" type="#_x0000_t136" style="position:absolute;margin-left:0;margin-top:0;width:485.3pt;height:194.1pt;rotation:315;z-index:-251601920;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AE40C" w14:textId="25D6659C" w:rsidR="006A46D0" w:rsidRDefault="00AE0328">
    <w:r>
      <w:rPr>
        <w:noProof/>
      </w:rPr>
      <w:pict w14:anchorId="30BB8B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2529437" o:spid="_x0000_s2065" type="#_x0000_t136" style="position:absolute;margin-left:0;margin-top:0;width:485.3pt;height:194.1pt;rotation:315;z-index:-251618304;mso-position-horizontal:center;mso-position-horizontal-relative:margin;mso-position-vertical:center;mso-position-vertical-relative:margin" o:allowincell="f" fillcolor="#0d0d0d [3069]" stroked="f">
          <v:fill opacity=".5"/>
          <v:textpath style="font-family:&quot;Trebuchet MS&quot;;font-size:1pt" string="DRAFT"/>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F2A9B" w14:textId="0CD5BD0A" w:rsidR="006A46D0" w:rsidRDefault="00AE0328">
    <w:r>
      <w:rPr>
        <w:noProof/>
      </w:rPr>
      <w:pict w14:anchorId="23E46A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2529438" o:spid="_x0000_s2066" type="#_x0000_t136" style="position:absolute;margin-left:0;margin-top:0;width:485.3pt;height:194.1pt;rotation:315;z-index:-251616256;mso-position-horizontal:center;mso-position-horizontal-relative:margin;mso-position-vertical:center;mso-position-vertical-relative:margin" o:allowincell="f" fillcolor="#0d0d0d [3069]" stroked="f">
          <v:fill opacity=".5"/>
          <v:textpath style="font-family:&quot;Trebuchet MS&quot;;font-size:1pt" string="DRAFT"/>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ACEF" w14:textId="24044E36" w:rsidR="006A46D0" w:rsidRDefault="00AE0328">
    <w:r>
      <w:rPr>
        <w:noProof/>
      </w:rPr>
      <w:pict w14:anchorId="28C837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2529436" o:spid="_x0000_s2064" type="#_x0000_t136" style="position:absolute;margin-left:0;margin-top:0;width:485.3pt;height:194.1pt;rotation:315;z-index:-251620352;mso-position-horizontal:center;mso-position-horizontal-relative:margin;mso-position-vertical:center;mso-position-vertical-relative:margin" o:allowincell="f" fillcolor="#0d0d0d [3069]" stroked="f">
          <v:fill opacity=".5"/>
          <v:textpath style="font-family:&quot;Trebuchet MS&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B0B18" w14:textId="77777777" w:rsidR="00EA37BF" w:rsidRPr="00815221" w:rsidRDefault="00EA37BF" w:rsidP="00815221">
    <w:pPr>
      <w:spacing w:after="0"/>
      <w:rPr>
        <w:sz w:val="18"/>
        <w:szCs w:val="18"/>
      </w:rPr>
    </w:pPr>
    <w:r w:rsidRPr="00815221">
      <w:rPr>
        <w:noProof/>
        <w:sz w:val="18"/>
        <w:szCs w:val="18"/>
      </w:rPr>
      <w:pict w14:anchorId="7BD4CB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86" o:spid="_x0000_s2069" type="#_x0000_t136" style="position:absolute;margin-left:0;margin-top:0;width:485.3pt;height:194.1pt;rotation:315;z-index:-251612160;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r w:rsidRPr="00815221">
      <w:rPr>
        <w:rFonts w:asciiTheme="majorHAnsi" w:hAnsiTheme="majorHAnsi" w:cstheme="majorHAnsi"/>
        <w:sz w:val="18"/>
        <w:szCs w:val="18"/>
      </w:rPr>
      <w:t>PROGRAMUL NAȚIONAL - FONDUL AZIL, MIGRAȚIE ȘI INTEGRARE 2021-2027 – draft 28102020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00DD5" w14:textId="77777777" w:rsidR="00EA37BF" w:rsidRDefault="00EA37BF">
    <w:pPr>
      <w:pBdr>
        <w:top w:val="nil"/>
        <w:left w:val="nil"/>
        <w:bottom w:val="nil"/>
        <w:right w:val="nil"/>
        <w:between w:val="nil"/>
      </w:pBdr>
      <w:tabs>
        <w:tab w:val="center" w:pos="7285"/>
        <w:tab w:val="right" w:pos="14003"/>
      </w:tabs>
      <w:rPr>
        <w:color w:val="000000"/>
      </w:rPr>
    </w:pPr>
    <w:r>
      <w:rPr>
        <w:noProof/>
      </w:rPr>
      <w:pict w14:anchorId="2D84EE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84" o:spid="_x0000_s2067" type="#_x0000_t136" style="position:absolute;margin-left:0;margin-top:0;width:485.3pt;height:194.1pt;rotation:315;z-index:-251614208;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r w:rsidRPr="009C63E5">
      <w:rPr>
        <w:rFonts w:asciiTheme="majorHAnsi" w:hAnsiTheme="majorHAnsi" w:cstheme="majorHAnsi"/>
      </w:rPr>
      <w:t>PROGRAMUL NAȚIONAL PENTRU FONDUL AZIL, MIGRAȚIE ȘI INTEGRARE</w:t>
    </w:r>
    <w:r>
      <w:rPr>
        <w:rFonts w:asciiTheme="majorHAnsi" w:hAnsiTheme="majorHAnsi" w:cstheme="majorHAnsi"/>
      </w:rPr>
      <w:t xml:space="preserve"> - </w:t>
    </w:r>
    <w:r w:rsidRPr="009C63E5">
      <w:rPr>
        <w:rFonts w:asciiTheme="majorHAnsi" w:hAnsiTheme="majorHAnsi" w:cstheme="majorHAnsi"/>
      </w:rPr>
      <w:t>Draft1 – 28.10.2020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AE9D4" w14:textId="77777777" w:rsidR="00EA37BF" w:rsidRDefault="00EA37BF">
    <w:pPr>
      <w:pBdr>
        <w:top w:val="nil"/>
        <w:left w:val="nil"/>
        <w:bottom w:val="nil"/>
        <w:right w:val="nil"/>
        <w:between w:val="nil"/>
      </w:pBdr>
      <w:tabs>
        <w:tab w:val="center" w:pos="4535"/>
        <w:tab w:val="right" w:pos="9071"/>
      </w:tabs>
      <w:rPr>
        <w:color w:val="000000"/>
      </w:rPr>
    </w:pPr>
    <w:r>
      <w:rPr>
        <w:noProof/>
      </w:rPr>
      <w:pict w14:anchorId="5FB2DF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88" o:spid="_x0000_s2071" type="#_x0000_t136" style="position:absolute;margin-left:0;margin-top:0;width:485.3pt;height:194.1pt;rotation:315;z-index:-251610112;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AC87" w14:textId="77777777" w:rsidR="00EA37BF" w:rsidRDefault="00EA37BF">
    <w:pPr>
      <w:pBdr>
        <w:top w:val="nil"/>
        <w:left w:val="nil"/>
        <w:bottom w:val="single" w:sz="4" w:space="1" w:color="7B6F46"/>
        <w:right w:val="nil"/>
        <w:between w:val="nil"/>
      </w:pBdr>
      <w:tabs>
        <w:tab w:val="center" w:pos="4535"/>
        <w:tab w:val="right" w:pos="9071"/>
        <w:tab w:val="right" w:pos="9921"/>
        <w:tab w:val="right" w:pos="8820"/>
      </w:tabs>
      <w:spacing w:before="360" w:after="0"/>
      <w:ind w:left="-850" w:right="3027"/>
      <w:jc w:val="center"/>
      <w:rPr>
        <w:color w:val="000000"/>
      </w:rPr>
    </w:pPr>
    <w:r>
      <w:rPr>
        <w:noProof/>
      </w:rPr>
      <w:pict w14:anchorId="6C3C2F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89" o:spid="_x0000_s2072" type="#_x0000_t136" style="position:absolute;left:0;text-align:left;margin-left:0;margin-top:0;width:485.3pt;height:194.1pt;rotation:315;z-index:-251609088;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0ED4B" w14:textId="77777777" w:rsidR="00EA37BF" w:rsidRDefault="00EA37BF">
    <w:pPr>
      <w:pBdr>
        <w:top w:val="nil"/>
        <w:left w:val="nil"/>
        <w:bottom w:val="nil"/>
        <w:right w:val="nil"/>
        <w:between w:val="nil"/>
      </w:pBdr>
      <w:tabs>
        <w:tab w:val="center" w:pos="7285"/>
        <w:tab w:val="right" w:pos="14003"/>
      </w:tabs>
      <w:rPr>
        <w:color w:val="000000"/>
      </w:rPr>
    </w:pPr>
    <w:r>
      <w:rPr>
        <w:noProof/>
      </w:rPr>
      <w:pict w14:anchorId="5BF7A6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87" o:spid="_x0000_s2070" type="#_x0000_t136" style="position:absolute;margin-left:0;margin-top:0;width:485.3pt;height:194.1pt;rotation:315;z-index:-251611136;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F6768" w14:textId="77777777" w:rsidR="00EA37BF" w:rsidRDefault="00EA37BF">
    <w:pPr>
      <w:pBdr>
        <w:top w:val="nil"/>
        <w:left w:val="nil"/>
        <w:bottom w:val="nil"/>
        <w:right w:val="nil"/>
        <w:between w:val="nil"/>
      </w:pBdr>
      <w:tabs>
        <w:tab w:val="center" w:pos="4535"/>
        <w:tab w:val="right" w:pos="9071"/>
      </w:tabs>
      <w:rPr>
        <w:color w:val="000000"/>
      </w:rPr>
    </w:pPr>
    <w:r>
      <w:rPr>
        <w:noProof/>
      </w:rPr>
      <w:pict w14:anchorId="46C8F9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91" o:spid="_x0000_s2074" type="#_x0000_t136" style="position:absolute;margin-left:0;margin-top:0;width:485.3pt;height:194.1pt;rotation:315;z-index:-251607040;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FBA86" w14:textId="77777777" w:rsidR="00EA37BF" w:rsidRDefault="00EA37BF">
    <w:pPr>
      <w:pBdr>
        <w:top w:val="nil"/>
        <w:left w:val="nil"/>
        <w:bottom w:val="nil"/>
        <w:right w:val="nil"/>
        <w:between w:val="nil"/>
      </w:pBdr>
      <w:tabs>
        <w:tab w:val="center" w:pos="4535"/>
        <w:tab w:val="right" w:pos="9071"/>
      </w:tabs>
      <w:rPr>
        <w:color w:val="000000"/>
      </w:rPr>
    </w:pPr>
    <w:r>
      <w:rPr>
        <w:noProof/>
      </w:rPr>
      <w:pict w14:anchorId="271A4F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92" o:spid="_x0000_s2075" type="#_x0000_t136" style="position:absolute;margin-left:0;margin-top:0;width:485.3pt;height:194.1pt;rotation:315;z-index:-251606016;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6543B" w14:textId="77777777" w:rsidR="00EA37BF" w:rsidRDefault="00EA37BF">
    <w:pPr>
      <w:pBdr>
        <w:top w:val="nil"/>
        <w:left w:val="nil"/>
        <w:bottom w:val="nil"/>
        <w:right w:val="nil"/>
        <w:between w:val="nil"/>
      </w:pBdr>
      <w:tabs>
        <w:tab w:val="center" w:pos="7285"/>
        <w:tab w:val="right" w:pos="14003"/>
      </w:tabs>
      <w:rPr>
        <w:color w:val="000000"/>
      </w:rPr>
    </w:pPr>
    <w:r>
      <w:rPr>
        <w:noProof/>
      </w:rPr>
      <w:pict w14:anchorId="37677F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37990" o:spid="_x0000_s2073" type="#_x0000_t136" style="position:absolute;margin-left:0;margin-top:0;width:485.3pt;height:194.1pt;rotation:315;z-index:-251608064;mso-position-horizontal:center;mso-position-horizontal-relative:margin;mso-position-vertical:center;mso-position-vertical-relative:margin" o:allowincell="f" fillcolor="black [3213]"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25D23"/>
    <w:multiLevelType w:val="multilevel"/>
    <w:tmpl w:val="0D76A32C"/>
    <w:lvl w:ilvl="0">
      <w:start w:val="1"/>
      <w:numFmt w:val="decimal"/>
      <w:lvlText w:val="%1."/>
      <w:lvlJc w:val="left"/>
      <w:pPr>
        <w:ind w:left="720" w:hanging="360"/>
      </w:pPr>
      <w:rPr>
        <w:i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A3C0121"/>
    <w:multiLevelType w:val="multilevel"/>
    <w:tmpl w:val="0D76A32C"/>
    <w:lvl w:ilvl="0">
      <w:start w:val="1"/>
      <w:numFmt w:val="decimal"/>
      <w:lvlText w:val="%1."/>
      <w:lvlJc w:val="left"/>
      <w:pPr>
        <w:ind w:left="720" w:hanging="360"/>
      </w:pPr>
      <w:rPr>
        <w:i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21B7019"/>
    <w:multiLevelType w:val="hybridMultilevel"/>
    <w:tmpl w:val="2D34B328"/>
    <w:lvl w:ilvl="0" w:tplc="04180001">
      <w:start w:val="1"/>
      <w:numFmt w:val="bullet"/>
      <w:lvlText w:val=""/>
      <w:lvlJc w:val="left"/>
      <w:pPr>
        <w:ind w:left="860" w:hanging="360"/>
      </w:pPr>
      <w:rPr>
        <w:rFonts w:ascii="Symbol" w:hAnsi="Symbol" w:hint="default"/>
      </w:rPr>
    </w:lvl>
    <w:lvl w:ilvl="1" w:tplc="04180003" w:tentative="1">
      <w:start w:val="1"/>
      <w:numFmt w:val="bullet"/>
      <w:lvlText w:val="o"/>
      <w:lvlJc w:val="left"/>
      <w:pPr>
        <w:ind w:left="1580" w:hanging="360"/>
      </w:pPr>
      <w:rPr>
        <w:rFonts w:ascii="Courier New" w:hAnsi="Courier New" w:cs="Courier New" w:hint="default"/>
      </w:rPr>
    </w:lvl>
    <w:lvl w:ilvl="2" w:tplc="04180005" w:tentative="1">
      <w:start w:val="1"/>
      <w:numFmt w:val="bullet"/>
      <w:lvlText w:val=""/>
      <w:lvlJc w:val="left"/>
      <w:pPr>
        <w:ind w:left="2300" w:hanging="360"/>
      </w:pPr>
      <w:rPr>
        <w:rFonts w:ascii="Wingdings" w:hAnsi="Wingdings" w:hint="default"/>
      </w:rPr>
    </w:lvl>
    <w:lvl w:ilvl="3" w:tplc="04180001" w:tentative="1">
      <w:start w:val="1"/>
      <w:numFmt w:val="bullet"/>
      <w:lvlText w:val=""/>
      <w:lvlJc w:val="left"/>
      <w:pPr>
        <w:ind w:left="3020" w:hanging="360"/>
      </w:pPr>
      <w:rPr>
        <w:rFonts w:ascii="Symbol" w:hAnsi="Symbol" w:hint="default"/>
      </w:rPr>
    </w:lvl>
    <w:lvl w:ilvl="4" w:tplc="04180003" w:tentative="1">
      <w:start w:val="1"/>
      <w:numFmt w:val="bullet"/>
      <w:lvlText w:val="o"/>
      <w:lvlJc w:val="left"/>
      <w:pPr>
        <w:ind w:left="3740" w:hanging="360"/>
      </w:pPr>
      <w:rPr>
        <w:rFonts w:ascii="Courier New" w:hAnsi="Courier New" w:cs="Courier New" w:hint="default"/>
      </w:rPr>
    </w:lvl>
    <w:lvl w:ilvl="5" w:tplc="04180005" w:tentative="1">
      <w:start w:val="1"/>
      <w:numFmt w:val="bullet"/>
      <w:lvlText w:val=""/>
      <w:lvlJc w:val="left"/>
      <w:pPr>
        <w:ind w:left="4460" w:hanging="360"/>
      </w:pPr>
      <w:rPr>
        <w:rFonts w:ascii="Wingdings" w:hAnsi="Wingdings" w:hint="default"/>
      </w:rPr>
    </w:lvl>
    <w:lvl w:ilvl="6" w:tplc="04180001" w:tentative="1">
      <w:start w:val="1"/>
      <w:numFmt w:val="bullet"/>
      <w:lvlText w:val=""/>
      <w:lvlJc w:val="left"/>
      <w:pPr>
        <w:ind w:left="5180" w:hanging="360"/>
      </w:pPr>
      <w:rPr>
        <w:rFonts w:ascii="Symbol" w:hAnsi="Symbol" w:hint="default"/>
      </w:rPr>
    </w:lvl>
    <w:lvl w:ilvl="7" w:tplc="04180003" w:tentative="1">
      <w:start w:val="1"/>
      <w:numFmt w:val="bullet"/>
      <w:lvlText w:val="o"/>
      <w:lvlJc w:val="left"/>
      <w:pPr>
        <w:ind w:left="5900" w:hanging="360"/>
      </w:pPr>
      <w:rPr>
        <w:rFonts w:ascii="Courier New" w:hAnsi="Courier New" w:cs="Courier New" w:hint="default"/>
      </w:rPr>
    </w:lvl>
    <w:lvl w:ilvl="8" w:tplc="04180005" w:tentative="1">
      <w:start w:val="1"/>
      <w:numFmt w:val="bullet"/>
      <w:lvlText w:val=""/>
      <w:lvlJc w:val="left"/>
      <w:pPr>
        <w:ind w:left="6620" w:hanging="360"/>
      </w:pPr>
      <w:rPr>
        <w:rFonts w:ascii="Wingdings" w:hAnsi="Wingdings" w:hint="default"/>
      </w:rPr>
    </w:lvl>
  </w:abstractNum>
  <w:abstractNum w:abstractNumId="3" w15:restartNumberingAfterBreak="0">
    <w:nsid w:val="36E40437"/>
    <w:multiLevelType w:val="multilevel"/>
    <w:tmpl w:val="DA080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1525A7"/>
    <w:multiLevelType w:val="multilevel"/>
    <w:tmpl w:val="80082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353CC4"/>
    <w:multiLevelType w:val="hybridMultilevel"/>
    <w:tmpl w:val="B22CB93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468A64CB"/>
    <w:multiLevelType w:val="multilevel"/>
    <w:tmpl w:val="30A209A0"/>
    <w:lvl w:ilvl="0">
      <w:start w:val="1"/>
      <w:numFmt w:val="decimal"/>
      <w:lvlText w:val="%1."/>
      <w:lvlJc w:val="left"/>
      <w:pPr>
        <w:ind w:left="10" w:hanging="10"/>
      </w:pPr>
      <w:rPr>
        <w:rFonts w:ascii="Times New Roman" w:eastAsia="Times New Roman" w:hAnsi="Times New Roman" w:cs="Times New Roman"/>
        <w:b w:val="0"/>
        <w:i/>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strike w:val="0"/>
        <w:color w:val="000000"/>
        <w:sz w:val="24"/>
        <w:szCs w:val="24"/>
        <w:u w:val="none"/>
        <w:shd w:val="clear" w:color="auto" w:fill="auto"/>
        <w:vertAlign w:val="baseline"/>
      </w:rPr>
    </w:lvl>
  </w:abstractNum>
  <w:abstractNum w:abstractNumId="7" w15:restartNumberingAfterBreak="0">
    <w:nsid w:val="47CB7044"/>
    <w:multiLevelType w:val="multilevel"/>
    <w:tmpl w:val="3EC8D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452906"/>
    <w:multiLevelType w:val="multilevel"/>
    <w:tmpl w:val="231C5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57522C"/>
    <w:multiLevelType w:val="multilevel"/>
    <w:tmpl w:val="0D76A32C"/>
    <w:lvl w:ilvl="0">
      <w:start w:val="1"/>
      <w:numFmt w:val="decimal"/>
      <w:lvlText w:val="%1."/>
      <w:lvlJc w:val="left"/>
      <w:pPr>
        <w:ind w:left="720" w:hanging="360"/>
      </w:pPr>
      <w:rPr>
        <w:i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7AE3196B"/>
    <w:multiLevelType w:val="hybridMultilevel"/>
    <w:tmpl w:val="ACACEB78"/>
    <w:lvl w:ilvl="0" w:tplc="04180001">
      <w:start w:val="1"/>
      <w:numFmt w:val="bullet"/>
      <w:lvlText w:val=""/>
      <w:lvlJc w:val="left"/>
      <w:pPr>
        <w:ind w:left="860" w:hanging="360"/>
      </w:pPr>
      <w:rPr>
        <w:rFonts w:ascii="Symbol" w:hAnsi="Symbol" w:hint="default"/>
      </w:rPr>
    </w:lvl>
    <w:lvl w:ilvl="1" w:tplc="04180003" w:tentative="1">
      <w:start w:val="1"/>
      <w:numFmt w:val="bullet"/>
      <w:lvlText w:val="o"/>
      <w:lvlJc w:val="left"/>
      <w:pPr>
        <w:ind w:left="1580" w:hanging="360"/>
      </w:pPr>
      <w:rPr>
        <w:rFonts w:ascii="Courier New" w:hAnsi="Courier New" w:cs="Courier New" w:hint="default"/>
      </w:rPr>
    </w:lvl>
    <w:lvl w:ilvl="2" w:tplc="04180005" w:tentative="1">
      <w:start w:val="1"/>
      <w:numFmt w:val="bullet"/>
      <w:lvlText w:val=""/>
      <w:lvlJc w:val="left"/>
      <w:pPr>
        <w:ind w:left="2300" w:hanging="360"/>
      </w:pPr>
      <w:rPr>
        <w:rFonts w:ascii="Wingdings" w:hAnsi="Wingdings" w:hint="default"/>
      </w:rPr>
    </w:lvl>
    <w:lvl w:ilvl="3" w:tplc="04180001" w:tentative="1">
      <w:start w:val="1"/>
      <w:numFmt w:val="bullet"/>
      <w:lvlText w:val=""/>
      <w:lvlJc w:val="left"/>
      <w:pPr>
        <w:ind w:left="3020" w:hanging="360"/>
      </w:pPr>
      <w:rPr>
        <w:rFonts w:ascii="Symbol" w:hAnsi="Symbol" w:hint="default"/>
      </w:rPr>
    </w:lvl>
    <w:lvl w:ilvl="4" w:tplc="04180003" w:tentative="1">
      <w:start w:val="1"/>
      <w:numFmt w:val="bullet"/>
      <w:lvlText w:val="o"/>
      <w:lvlJc w:val="left"/>
      <w:pPr>
        <w:ind w:left="3740" w:hanging="360"/>
      </w:pPr>
      <w:rPr>
        <w:rFonts w:ascii="Courier New" w:hAnsi="Courier New" w:cs="Courier New" w:hint="default"/>
      </w:rPr>
    </w:lvl>
    <w:lvl w:ilvl="5" w:tplc="04180005" w:tentative="1">
      <w:start w:val="1"/>
      <w:numFmt w:val="bullet"/>
      <w:lvlText w:val=""/>
      <w:lvlJc w:val="left"/>
      <w:pPr>
        <w:ind w:left="4460" w:hanging="360"/>
      </w:pPr>
      <w:rPr>
        <w:rFonts w:ascii="Wingdings" w:hAnsi="Wingdings" w:hint="default"/>
      </w:rPr>
    </w:lvl>
    <w:lvl w:ilvl="6" w:tplc="04180001" w:tentative="1">
      <w:start w:val="1"/>
      <w:numFmt w:val="bullet"/>
      <w:lvlText w:val=""/>
      <w:lvlJc w:val="left"/>
      <w:pPr>
        <w:ind w:left="5180" w:hanging="360"/>
      </w:pPr>
      <w:rPr>
        <w:rFonts w:ascii="Symbol" w:hAnsi="Symbol" w:hint="default"/>
      </w:rPr>
    </w:lvl>
    <w:lvl w:ilvl="7" w:tplc="04180003" w:tentative="1">
      <w:start w:val="1"/>
      <w:numFmt w:val="bullet"/>
      <w:lvlText w:val="o"/>
      <w:lvlJc w:val="left"/>
      <w:pPr>
        <w:ind w:left="5900" w:hanging="360"/>
      </w:pPr>
      <w:rPr>
        <w:rFonts w:ascii="Courier New" w:hAnsi="Courier New" w:cs="Courier New" w:hint="default"/>
      </w:rPr>
    </w:lvl>
    <w:lvl w:ilvl="8" w:tplc="04180005" w:tentative="1">
      <w:start w:val="1"/>
      <w:numFmt w:val="bullet"/>
      <w:lvlText w:val=""/>
      <w:lvlJc w:val="left"/>
      <w:pPr>
        <w:ind w:left="662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3"/>
  </w:num>
  <w:num w:numId="6">
    <w:abstractNumId w:val="5"/>
  </w:num>
  <w:num w:numId="7">
    <w:abstractNumId w:val="10"/>
  </w:num>
  <w:num w:numId="8">
    <w:abstractNumId w:val="2"/>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B49"/>
    <w:rsid w:val="000604FA"/>
    <w:rsid w:val="00320586"/>
    <w:rsid w:val="003F6D59"/>
    <w:rsid w:val="005F7451"/>
    <w:rsid w:val="00612B49"/>
    <w:rsid w:val="006A46D0"/>
    <w:rsid w:val="00AE0328"/>
    <w:rsid w:val="00D8663D"/>
    <w:rsid w:val="00E76CF1"/>
    <w:rsid w:val="00EA37B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0EE06092"/>
  <w15:docId w15:val="{006C6907-818B-43C0-8A98-D9B6B5C0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3"/>
    <w:next w:val="Normal"/>
    <w:uiPriority w:val="9"/>
    <w:qFormat/>
    <w:rsid w:val="00AE0328"/>
    <w:pPr>
      <w:spacing w:after="120" w:line="240" w:lineRule="auto"/>
      <w:outlineLvl w:val="0"/>
    </w:pPr>
    <w:rPr>
      <w:rFonts w:asciiTheme="majorHAnsi" w:hAnsiTheme="majorHAnsi" w:cstheme="majorHAnsi"/>
      <w:color w:val="808080" w:themeColor="background1" w:themeShade="80"/>
      <w:sz w:val="20"/>
      <w:szCs w:val="20"/>
    </w:rPr>
  </w:style>
  <w:style w:type="paragraph" w:styleId="Heading2">
    <w:name w:val="heading 2"/>
    <w:basedOn w:val="Normal"/>
    <w:next w:val="Normal"/>
    <w:uiPriority w:val="9"/>
    <w:unhideWhenUsed/>
    <w:qFormat/>
    <w:pPr>
      <w:keepNext/>
      <w:keepLines/>
      <w:spacing w:after="10" w:line="249" w:lineRule="auto"/>
      <w:ind w:left="1642" w:hanging="10"/>
      <w:outlineLvl w:val="1"/>
    </w:pPr>
    <w:rPr>
      <w:rFonts w:ascii="Trebuchet MS" w:eastAsia="Trebuchet MS" w:hAnsi="Trebuchet MS" w:cs="Trebuchet MS"/>
      <w:b/>
      <w:sz w:val="24"/>
      <w:szCs w:val="24"/>
    </w:rPr>
  </w:style>
  <w:style w:type="paragraph" w:styleId="Heading3">
    <w:name w:val="heading 3"/>
    <w:basedOn w:val="Normal"/>
    <w:next w:val="Normal"/>
    <w:uiPriority w:val="9"/>
    <w:unhideWhenUsed/>
    <w:qFormat/>
    <w:pPr>
      <w:keepNext/>
      <w:keepLines/>
      <w:spacing w:after="10" w:line="249" w:lineRule="auto"/>
      <w:ind w:left="1642" w:hanging="10"/>
      <w:outlineLvl w:val="2"/>
    </w:pPr>
    <w:rPr>
      <w:rFonts w:ascii="Trebuchet MS" w:eastAsia="Trebuchet MS" w:hAnsi="Trebuchet MS" w:cs="Trebuchet MS"/>
      <w:b/>
      <w:sz w:val="24"/>
      <w:szCs w:val="24"/>
    </w:rPr>
  </w:style>
  <w:style w:type="paragraph" w:styleId="Heading4">
    <w:name w:val="heading 4"/>
    <w:basedOn w:val="Normal"/>
    <w:next w:val="Normal"/>
    <w:uiPriority w:val="9"/>
    <w:unhideWhenUsed/>
    <w:qFormat/>
    <w:pPr>
      <w:keepNext/>
      <w:keepLines/>
      <w:spacing w:after="10" w:line="240" w:lineRule="auto"/>
      <w:ind w:left="201" w:hanging="10"/>
      <w:outlineLvl w:val="3"/>
    </w:pPr>
    <w:rPr>
      <w:rFonts w:ascii="Trebuchet MS" w:eastAsia="Trebuchet MS" w:hAnsi="Trebuchet MS" w:cs="Trebuchet MS"/>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Trebuchet MS" w:eastAsia="Trebuchet MS" w:hAnsi="Trebuchet MS" w:cs="Trebuchet MS"/>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27" w:type="dxa"/>
        <w:right w:w="61" w:type="dxa"/>
      </w:tblCellMar>
    </w:tblPr>
  </w:style>
  <w:style w:type="table" w:customStyle="1" w:styleId="a0">
    <w:basedOn w:val="TableNormal"/>
    <w:pPr>
      <w:spacing w:after="0" w:line="240" w:lineRule="auto"/>
    </w:pPr>
    <w:tblPr>
      <w:tblStyleRowBandSize w:val="1"/>
      <w:tblStyleColBandSize w:val="1"/>
      <w:tblCellMar>
        <w:top w:w="129" w:type="dxa"/>
        <w:right w:w="115" w:type="dxa"/>
      </w:tblCellMar>
    </w:tblPr>
  </w:style>
  <w:style w:type="table" w:customStyle="1" w:styleId="a1">
    <w:basedOn w:val="TableNormal"/>
    <w:pPr>
      <w:spacing w:after="0" w:line="240" w:lineRule="auto"/>
    </w:pPr>
    <w:tblPr>
      <w:tblStyleRowBandSize w:val="1"/>
      <w:tblStyleColBandSize w:val="1"/>
      <w:tblCellMar>
        <w:top w:w="128" w:type="dxa"/>
        <w:right w:w="69" w:type="dxa"/>
      </w:tblCellMar>
    </w:tblPr>
  </w:style>
  <w:style w:type="table" w:customStyle="1" w:styleId="a2">
    <w:basedOn w:val="TableNormal"/>
    <w:pPr>
      <w:spacing w:after="0" w:line="240" w:lineRule="auto"/>
    </w:pPr>
    <w:tblPr>
      <w:tblStyleRowBandSize w:val="1"/>
      <w:tblStyleColBandSize w:val="1"/>
      <w:tblCellMar>
        <w:right w:w="115" w:type="dxa"/>
      </w:tblCellMar>
    </w:tblPr>
  </w:style>
  <w:style w:type="table" w:customStyle="1" w:styleId="a3">
    <w:basedOn w:val="TableNormal"/>
    <w:pPr>
      <w:spacing w:after="0" w:line="240" w:lineRule="auto"/>
    </w:pPr>
    <w:tblPr>
      <w:tblStyleRowBandSize w:val="1"/>
      <w:tblStyleColBandSize w:val="1"/>
      <w:tblCellMar>
        <w:right w:w="115" w:type="dxa"/>
      </w:tblCellMar>
    </w:tblPr>
  </w:style>
  <w:style w:type="table" w:customStyle="1" w:styleId="a4">
    <w:basedOn w:val="TableNormal"/>
    <w:pPr>
      <w:spacing w:after="0" w:line="240" w:lineRule="auto"/>
    </w:pPr>
    <w:tblPr>
      <w:tblStyleRowBandSize w:val="1"/>
      <w:tblStyleColBandSize w:val="1"/>
      <w:tblCellMar>
        <w:right w:w="115" w:type="dxa"/>
      </w:tblCellMar>
    </w:tblPr>
  </w:style>
  <w:style w:type="table" w:customStyle="1" w:styleId="a5">
    <w:basedOn w:val="TableNormal"/>
    <w:pPr>
      <w:spacing w:after="0" w:line="240" w:lineRule="auto"/>
    </w:pPr>
    <w:tblPr>
      <w:tblStyleRowBandSize w:val="1"/>
      <w:tblStyleColBandSize w:val="1"/>
      <w:tblCellMar>
        <w:right w:w="115" w:type="dxa"/>
      </w:tblCellMar>
    </w:tblPr>
  </w:style>
  <w:style w:type="table" w:customStyle="1" w:styleId="a6">
    <w:basedOn w:val="TableNormal"/>
    <w:pPr>
      <w:spacing w:after="0" w:line="240" w:lineRule="auto"/>
    </w:pPr>
    <w:tblPr>
      <w:tblStyleRowBandSize w:val="1"/>
      <w:tblStyleColBandSize w:val="1"/>
      <w:tblCellMar>
        <w:top w:w="127" w:type="dxa"/>
        <w:left w:w="0" w:type="dxa"/>
        <w:right w:w="0" w:type="dxa"/>
      </w:tblCellMar>
    </w:tblPr>
  </w:style>
  <w:style w:type="table" w:customStyle="1" w:styleId="a7">
    <w:basedOn w:val="TableNormal"/>
    <w:pPr>
      <w:spacing w:after="0" w:line="240" w:lineRule="auto"/>
    </w:pPr>
    <w:tblPr>
      <w:tblStyleRowBandSize w:val="1"/>
      <w:tblStyleColBandSize w:val="1"/>
      <w:tblCellMar>
        <w:top w:w="126" w:type="dxa"/>
        <w:right w:w="51" w:type="dxa"/>
      </w:tblCellMar>
    </w:tblPr>
  </w:style>
  <w:style w:type="table" w:customStyle="1" w:styleId="a8">
    <w:basedOn w:val="TableNormal"/>
    <w:pPr>
      <w:spacing w:after="0" w:line="240" w:lineRule="auto"/>
    </w:pPr>
    <w:tblPr>
      <w:tblStyleRowBandSize w:val="1"/>
      <w:tblStyleColBandSize w:val="1"/>
      <w:tblCellMar>
        <w:top w:w="127" w:type="dxa"/>
        <w:left w:w="0" w:type="dxa"/>
        <w:right w:w="82" w:type="dxa"/>
      </w:tblCellMar>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CellMar>
        <w:right w:w="115" w:type="dxa"/>
      </w:tblCellMar>
    </w:tblPr>
  </w:style>
  <w:style w:type="table" w:customStyle="1" w:styleId="ab">
    <w:basedOn w:val="TableNormal"/>
    <w:pPr>
      <w:spacing w:after="0" w:line="240" w:lineRule="auto"/>
    </w:pPr>
    <w:tblPr>
      <w:tblStyleRowBandSize w:val="1"/>
      <w:tblStyleColBandSize w:val="1"/>
      <w:tblCellMar>
        <w:top w:w="127" w:type="dxa"/>
        <w:right w:w="77" w:type="dxa"/>
      </w:tblCellMar>
    </w:tblPr>
  </w:style>
  <w:style w:type="table" w:customStyle="1" w:styleId="ac">
    <w:basedOn w:val="TableNormal"/>
    <w:pPr>
      <w:spacing w:after="0" w:line="240" w:lineRule="auto"/>
    </w:pPr>
    <w:tblPr>
      <w:tblStyleRowBandSize w:val="1"/>
      <w:tblStyleColBandSize w:val="1"/>
      <w:tblCellMar>
        <w:top w:w="126" w:type="dxa"/>
        <w:right w:w="77" w:type="dxa"/>
      </w:tblCellMar>
    </w:tblPr>
  </w:style>
  <w:style w:type="table" w:customStyle="1" w:styleId="ad">
    <w:basedOn w:val="TableNormal"/>
    <w:pPr>
      <w:spacing w:after="0" w:line="240" w:lineRule="auto"/>
    </w:pPr>
    <w:tblPr>
      <w:tblStyleRowBandSize w:val="1"/>
      <w:tblStyleColBandSize w:val="1"/>
      <w:tblCellMar>
        <w:left w:w="0" w:type="dxa"/>
        <w:right w:w="58" w:type="dxa"/>
      </w:tblCellMar>
    </w:tblPr>
  </w:style>
  <w:style w:type="table" w:customStyle="1" w:styleId="ae">
    <w:basedOn w:val="TableNormal"/>
    <w:pPr>
      <w:spacing w:after="0" w:line="240" w:lineRule="auto"/>
    </w:pPr>
    <w:tblPr>
      <w:tblStyleRowBandSize w:val="1"/>
      <w:tblStyleColBandSize w:val="1"/>
      <w:tblCellMar>
        <w:right w:w="115" w:type="dxa"/>
      </w:tblCellMar>
    </w:tblPr>
  </w:style>
  <w:style w:type="table" w:customStyle="1" w:styleId="af">
    <w:basedOn w:val="TableNormal"/>
    <w:pPr>
      <w:spacing w:after="0" w:line="240" w:lineRule="auto"/>
    </w:pPr>
    <w:tblPr>
      <w:tblStyleRowBandSize w:val="1"/>
      <w:tblStyleColBandSize w:val="1"/>
      <w:tblCellMar>
        <w:top w:w="128" w:type="dxa"/>
        <w:left w:w="122" w:type="dxa"/>
        <w:right w:w="77" w:type="dxa"/>
      </w:tblCellMar>
    </w:tblPr>
  </w:style>
  <w:style w:type="table" w:customStyle="1" w:styleId="af0">
    <w:basedOn w:val="TableNormal"/>
    <w:pPr>
      <w:spacing w:after="0" w:line="240" w:lineRule="auto"/>
    </w:pPr>
    <w:tblPr>
      <w:tblStyleRowBandSize w:val="1"/>
      <w:tblStyleColBandSize w:val="1"/>
      <w:tblCellMar>
        <w:bottom w:w="13" w:type="dxa"/>
        <w:right w:w="48" w:type="dxa"/>
      </w:tblCellMar>
    </w:tblPr>
  </w:style>
  <w:style w:type="table" w:customStyle="1" w:styleId="af1">
    <w:basedOn w:val="TableNormal"/>
    <w:pPr>
      <w:spacing w:after="0" w:line="240" w:lineRule="auto"/>
    </w:pPr>
    <w:tblPr>
      <w:tblStyleRowBandSize w:val="1"/>
      <w:tblStyleColBandSize w:val="1"/>
      <w:tblCellMar>
        <w:top w:w="31" w:type="dxa"/>
        <w:left w:w="113" w:type="dxa"/>
        <w:right w:w="115" w:type="dxa"/>
      </w:tblCellMar>
    </w:tblPr>
  </w:style>
  <w:style w:type="table" w:customStyle="1" w:styleId="af2">
    <w:basedOn w:val="TableNormal"/>
    <w:pPr>
      <w:spacing w:after="0" w:line="240" w:lineRule="auto"/>
    </w:pPr>
    <w:tblPr>
      <w:tblStyleRowBandSize w:val="1"/>
      <w:tblStyleColBandSize w:val="1"/>
      <w:tblCellMar>
        <w:top w:w="31" w:type="dxa"/>
        <w:left w:w="113" w:type="dxa"/>
        <w:right w:w="115" w:type="dxa"/>
      </w:tblCellMar>
    </w:tblPr>
  </w:style>
  <w:style w:type="table" w:customStyle="1" w:styleId="af3">
    <w:basedOn w:val="TableNormal"/>
    <w:pPr>
      <w:spacing w:after="0" w:line="240" w:lineRule="auto"/>
    </w:pPr>
    <w:tblPr>
      <w:tblStyleRowBandSize w:val="1"/>
      <w:tblStyleColBandSize w:val="1"/>
      <w:tblCellMar>
        <w:top w:w="29" w:type="dxa"/>
        <w:left w:w="113" w:type="dxa"/>
        <w:right w:w="115" w:type="dxa"/>
      </w:tblCellMar>
    </w:tblPr>
  </w:style>
  <w:style w:type="table" w:customStyle="1" w:styleId="af4">
    <w:basedOn w:val="TableNormal"/>
    <w:pPr>
      <w:spacing w:after="0" w:line="240" w:lineRule="auto"/>
    </w:pPr>
    <w:tblPr>
      <w:tblStyleRowBandSize w:val="1"/>
      <w:tblStyleColBandSize w:val="1"/>
      <w:tblCellMar>
        <w:top w:w="29" w:type="dxa"/>
        <w:left w:w="113" w:type="dxa"/>
        <w:right w:w="115" w:type="dxa"/>
      </w:tblCellMar>
    </w:tblPr>
  </w:style>
  <w:style w:type="table" w:customStyle="1" w:styleId="af5">
    <w:basedOn w:val="TableNormal"/>
    <w:pPr>
      <w:spacing w:after="0" w:line="240" w:lineRule="auto"/>
    </w:pPr>
    <w:tblPr>
      <w:tblStyleRowBandSize w:val="1"/>
      <w:tblStyleColBandSize w:val="1"/>
      <w:tblCellMar>
        <w:top w:w="29" w:type="dxa"/>
        <w:left w:w="113" w:type="dxa"/>
        <w:right w:w="115" w:type="dxa"/>
      </w:tblCellMar>
    </w:tblPr>
  </w:style>
  <w:style w:type="table" w:customStyle="1" w:styleId="af6">
    <w:basedOn w:val="TableNormal"/>
    <w:pPr>
      <w:spacing w:after="0" w:line="240" w:lineRule="auto"/>
    </w:pPr>
    <w:tblPr>
      <w:tblStyleRowBandSize w:val="1"/>
      <w:tblStyleColBandSize w:val="1"/>
      <w:tblCellMar>
        <w:right w:w="115" w:type="dxa"/>
      </w:tblCellMar>
    </w:tblPr>
  </w:style>
  <w:style w:type="table" w:customStyle="1" w:styleId="af7">
    <w:basedOn w:val="TableNormal"/>
    <w:pPr>
      <w:spacing w:after="0" w:line="240" w:lineRule="auto"/>
    </w:pPr>
    <w:tblPr>
      <w:tblStyleRowBandSize w:val="1"/>
      <w:tblStyleColBandSize w:val="1"/>
      <w:tblCellMar>
        <w:top w:w="128" w:type="dxa"/>
        <w:right w:w="63" w:type="dxa"/>
      </w:tblCellMar>
    </w:tblPr>
  </w:style>
  <w:style w:type="table" w:customStyle="1" w:styleId="af8">
    <w:basedOn w:val="TableNormal"/>
    <w:pPr>
      <w:spacing w:after="0" w:line="240" w:lineRule="auto"/>
    </w:pPr>
    <w:tblPr>
      <w:tblStyleRowBandSize w:val="1"/>
      <w:tblStyleColBandSize w:val="1"/>
      <w:tblCellMar>
        <w:top w:w="127" w:type="dxa"/>
        <w:left w:w="106" w:type="dxa"/>
        <w:right w:w="14" w:type="dxa"/>
      </w:tblCellMar>
    </w:tblPr>
  </w:style>
  <w:style w:type="table" w:customStyle="1" w:styleId="af9">
    <w:basedOn w:val="TableNormal"/>
    <w:pPr>
      <w:spacing w:after="0" w:line="240" w:lineRule="auto"/>
    </w:pPr>
    <w:tblPr>
      <w:tblStyleRowBandSize w:val="1"/>
      <w:tblStyleColBandSize w:val="1"/>
      <w:tblCellMar>
        <w:top w:w="127" w:type="dxa"/>
        <w:left w:w="76" w:type="dxa"/>
        <w:right w:w="36" w:type="dxa"/>
      </w:tblCellMar>
    </w:tblPr>
  </w:style>
  <w:style w:type="paragraph" w:styleId="Header">
    <w:name w:val="header"/>
    <w:basedOn w:val="Normal"/>
    <w:link w:val="HeaderChar"/>
    <w:uiPriority w:val="99"/>
    <w:unhideWhenUsed/>
    <w:rsid w:val="006A4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6D0"/>
  </w:style>
  <w:style w:type="table" w:styleId="TableGrid">
    <w:name w:val="Table Grid"/>
    <w:basedOn w:val="TableNormal"/>
    <w:uiPriority w:val="39"/>
    <w:rsid w:val="006A4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D0"/>
    <w:pPr>
      <w:ind w:left="720"/>
      <w:contextualSpacing/>
    </w:pPr>
  </w:style>
  <w:style w:type="paragraph" w:styleId="BalloonText">
    <w:name w:val="Balloon Text"/>
    <w:basedOn w:val="Normal"/>
    <w:link w:val="BalloonTextChar"/>
    <w:uiPriority w:val="99"/>
    <w:semiHidden/>
    <w:unhideWhenUsed/>
    <w:rsid w:val="00D86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C9709-3E6D-4988-BF62-16201C6A3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8907</Words>
  <Characters>51664</Characters>
  <Application>Microsoft Office Word</Application>
  <DocSecurity>0</DocSecurity>
  <Lines>430</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Andrei TURCANU</cp:lastModifiedBy>
  <cp:revision>3</cp:revision>
  <cp:lastPrinted>2020-10-28T17:47:00Z</cp:lastPrinted>
  <dcterms:created xsi:type="dcterms:W3CDTF">2020-10-28T17:06:00Z</dcterms:created>
  <dcterms:modified xsi:type="dcterms:W3CDTF">2020-10-28T18:08:00Z</dcterms:modified>
</cp:coreProperties>
</file>