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DCF9" w14:textId="739022AD" w:rsidR="006C49D1" w:rsidRPr="00D05E4C" w:rsidRDefault="00A83083" w:rsidP="00E43440">
      <w:pPr>
        <w:pStyle w:val="Heading1"/>
        <w:rPr>
          <w:sz w:val="36"/>
          <w:szCs w:val="36"/>
        </w:rPr>
      </w:pPr>
      <w:bookmarkStart w:id="0" w:name="_Toc78795653"/>
      <w:r w:rsidRPr="00D05E4C">
        <w:rPr>
          <w:sz w:val="36"/>
          <w:szCs w:val="36"/>
        </w:rPr>
        <w:t>PROGRAMUL NA</w:t>
      </w:r>
      <w:r w:rsidR="00812FFF" w:rsidRPr="00D05E4C">
        <w:rPr>
          <w:sz w:val="36"/>
          <w:szCs w:val="36"/>
        </w:rPr>
        <w:t>Ț</w:t>
      </w:r>
      <w:r w:rsidRPr="00D05E4C">
        <w:rPr>
          <w:sz w:val="36"/>
          <w:szCs w:val="36"/>
        </w:rPr>
        <w:t xml:space="preserve">IONAL </w:t>
      </w:r>
      <w:r w:rsidR="006C49D1" w:rsidRPr="00D05E4C">
        <w:rPr>
          <w:sz w:val="36"/>
          <w:szCs w:val="36"/>
        </w:rPr>
        <w:t>2021-2027</w:t>
      </w:r>
      <w:bookmarkEnd w:id="0"/>
      <w:r w:rsidR="006C49D1" w:rsidRPr="00D05E4C">
        <w:rPr>
          <w:sz w:val="36"/>
          <w:szCs w:val="36"/>
        </w:rPr>
        <w:t xml:space="preserve"> </w:t>
      </w:r>
    </w:p>
    <w:p w14:paraId="0AB575B4" w14:textId="6A920525" w:rsidR="00A83083" w:rsidRPr="00D05E4C" w:rsidRDefault="00A83083" w:rsidP="00E43440">
      <w:pPr>
        <w:pStyle w:val="Heading1"/>
        <w:rPr>
          <w:sz w:val="36"/>
          <w:szCs w:val="36"/>
        </w:rPr>
      </w:pPr>
      <w:bookmarkStart w:id="1" w:name="_Toc78795654"/>
      <w:r w:rsidRPr="00D05E4C">
        <w:rPr>
          <w:sz w:val="36"/>
          <w:szCs w:val="36"/>
        </w:rPr>
        <w:t>INSTRUMENTUL PENTRU MANAGEMENTUL FRONTIERELOR ȘI POLITICA DE VIZE</w:t>
      </w:r>
      <w:bookmarkEnd w:id="1"/>
      <w:r w:rsidRPr="00D05E4C">
        <w:rPr>
          <w:sz w:val="36"/>
          <w:szCs w:val="36"/>
        </w:rPr>
        <w:t xml:space="preserve"> </w:t>
      </w:r>
    </w:p>
    <w:p w14:paraId="461352F0" w14:textId="77777777" w:rsidR="006C49D1" w:rsidRPr="000D1EF3" w:rsidRDefault="006C49D1" w:rsidP="006C49D1">
      <w:pPr>
        <w:rPr>
          <w:i/>
          <w:iCs/>
          <w:sz w:val="24"/>
          <w:szCs w:val="24"/>
        </w:rPr>
      </w:pPr>
      <w:r w:rsidRPr="000D1EF3">
        <w:rPr>
          <w:i/>
          <w:iCs/>
          <w:sz w:val="24"/>
          <w:szCs w:val="24"/>
        </w:rPr>
        <w:t>versiunea preliminară - draft 2</w:t>
      </w:r>
    </w:p>
    <w:p w14:paraId="01C6E387" w14:textId="77777777" w:rsidR="006C49D1" w:rsidRPr="000D1EF3" w:rsidRDefault="006C49D1" w:rsidP="006C49D1"/>
    <w:p w14:paraId="00000001" w14:textId="08499A69" w:rsidR="00C62A9B" w:rsidRPr="000D1EF3" w:rsidRDefault="00D11CD4" w:rsidP="00E43440">
      <w:pPr>
        <w:pStyle w:val="Heading1"/>
        <w:rPr>
          <w:u w:val="single"/>
        </w:rPr>
      </w:pPr>
      <w:bookmarkStart w:id="2" w:name="_Toc78795655"/>
      <w:r w:rsidRPr="000D1EF3">
        <w:t>Cuprins</w:t>
      </w:r>
      <w:bookmarkEnd w:id="2"/>
    </w:p>
    <w:p w14:paraId="00000002" w14:textId="77777777" w:rsidR="00C62A9B" w:rsidRPr="000D1EF3" w:rsidRDefault="00C62A9B">
      <w:pPr>
        <w:tabs>
          <w:tab w:val="center" w:pos="850"/>
          <w:tab w:val="right" w:pos="10998"/>
        </w:tabs>
        <w:spacing w:after="120" w:line="240" w:lineRule="auto"/>
        <w:rPr>
          <w:rFonts w:asciiTheme="majorHAnsi" w:hAnsiTheme="majorHAnsi" w:cstheme="majorHAnsi"/>
          <w:sz w:val="24"/>
          <w:szCs w:val="24"/>
          <w:u w:val="single"/>
        </w:rPr>
      </w:pPr>
    </w:p>
    <w:sdt>
      <w:sdtPr>
        <w:rPr>
          <w:rFonts w:ascii="Calibri" w:eastAsia="Calibri" w:hAnsi="Calibri" w:cs="Calibri"/>
          <w:color w:val="auto"/>
          <w:sz w:val="22"/>
          <w:szCs w:val="22"/>
          <w:lang w:val="ro-RO" w:eastAsia="en-GB"/>
        </w:rPr>
        <w:id w:val="-440063786"/>
        <w:docPartObj>
          <w:docPartGallery w:val="Table of Contents"/>
          <w:docPartUnique/>
        </w:docPartObj>
      </w:sdtPr>
      <w:sdtEndPr>
        <w:rPr>
          <w:b/>
          <w:bCs/>
        </w:rPr>
      </w:sdtEndPr>
      <w:sdtContent>
        <w:p w14:paraId="7EC14003" w14:textId="3B6A2A3D" w:rsidR="006C49D1" w:rsidRPr="000D1EF3" w:rsidRDefault="006C49D1" w:rsidP="00E43440">
          <w:pPr>
            <w:pStyle w:val="TOCHeading"/>
          </w:pPr>
          <w:r w:rsidRPr="000D1EF3">
            <w:t>Table of Contents</w:t>
          </w:r>
        </w:p>
        <w:p w14:paraId="0E58E807" w14:textId="208DB136" w:rsidR="00DC2513" w:rsidRDefault="006C49D1">
          <w:pPr>
            <w:pStyle w:val="TOC1"/>
            <w:tabs>
              <w:tab w:val="right" w:leader="dot" w:pos="9629"/>
            </w:tabs>
            <w:rPr>
              <w:rFonts w:asciiTheme="minorHAnsi" w:eastAsiaTheme="minorEastAsia" w:hAnsiTheme="minorHAnsi" w:cstheme="minorBidi"/>
              <w:noProof/>
              <w:lang w:eastAsia="ro-RO"/>
            </w:rPr>
          </w:pPr>
          <w:r w:rsidRPr="000D1EF3">
            <w:fldChar w:fldCharType="begin"/>
          </w:r>
          <w:r w:rsidRPr="000D1EF3">
            <w:instrText xml:space="preserve"> TOC \o "1-3" \h \z \u </w:instrText>
          </w:r>
          <w:r w:rsidRPr="000D1EF3">
            <w:fldChar w:fldCharType="separate"/>
          </w:r>
          <w:hyperlink w:anchor="_Toc78795653" w:history="1">
            <w:r w:rsidR="00DC2513" w:rsidRPr="00A87F5B">
              <w:rPr>
                <w:rStyle w:val="Hyperlink"/>
                <w:noProof/>
              </w:rPr>
              <w:t>PROGRAMUL NAȚIONAL 2021-2027</w:t>
            </w:r>
            <w:r w:rsidR="00DC2513">
              <w:rPr>
                <w:noProof/>
                <w:webHidden/>
              </w:rPr>
              <w:tab/>
            </w:r>
            <w:r w:rsidR="00DC2513">
              <w:rPr>
                <w:noProof/>
                <w:webHidden/>
              </w:rPr>
              <w:fldChar w:fldCharType="begin"/>
            </w:r>
            <w:r w:rsidR="00DC2513">
              <w:rPr>
                <w:noProof/>
                <w:webHidden/>
              </w:rPr>
              <w:instrText xml:space="preserve"> PAGEREF _Toc78795653 \h </w:instrText>
            </w:r>
            <w:r w:rsidR="00DC2513">
              <w:rPr>
                <w:noProof/>
                <w:webHidden/>
              </w:rPr>
            </w:r>
            <w:r w:rsidR="00DC2513">
              <w:rPr>
                <w:noProof/>
                <w:webHidden/>
              </w:rPr>
              <w:fldChar w:fldCharType="separate"/>
            </w:r>
            <w:r w:rsidR="00CE5DAF">
              <w:rPr>
                <w:noProof/>
                <w:webHidden/>
              </w:rPr>
              <w:t>1</w:t>
            </w:r>
            <w:r w:rsidR="00DC2513">
              <w:rPr>
                <w:noProof/>
                <w:webHidden/>
              </w:rPr>
              <w:fldChar w:fldCharType="end"/>
            </w:r>
          </w:hyperlink>
        </w:p>
        <w:p w14:paraId="03CA076C" w14:textId="126B7433" w:rsidR="00DC2513" w:rsidRDefault="00DC2513">
          <w:pPr>
            <w:pStyle w:val="TOC1"/>
            <w:tabs>
              <w:tab w:val="right" w:leader="dot" w:pos="9629"/>
            </w:tabs>
            <w:rPr>
              <w:rFonts w:asciiTheme="minorHAnsi" w:eastAsiaTheme="minorEastAsia" w:hAnsiTheme="minorHAnsi" w:cstheme="minorBidi"/>
              <w:noProof/>
              <w:lang w:eastAsia="ro-RO"/>
            </w:rPr>
          </w:pPr>
          <w:hyperlink w:anchor="_Toc78795654" w:history="1">
            <w:r w:rsidRPr="00A87F5B">
              <w:rPr>
                <w:rStyle w:val="Hyperlink"/>
                <w:noProof/>
              </w:rPr>
              <w:t>INSTRUMENTUL PENTRU MANAGEMENTUL FRONTIERELOR ȘI POLITICA DE VIZE</w:t>
            </w:r>
            <w:r>
              <w:rPr>
                <w:noProof/>
                <w:webHidden/>
              </w:rPr>
              <w:tab/>
            </w:r>
            <w:r>
              <w:rPr>
                <w:noProof/>
                <w:webHidden/>
              </w:rPr>
              <w:fldChar w:fldCharType="begin"/>
            </w:r>
            <w:r>
              <w:rPr>
                <w:noProof/>
                <w:webHidden/>
              </w:rPr>
              <w:instrText xml:space="preserve"> PAGEREF _Toc78795654 \h </w:instrText>
            </w:r>
            <w:r>
              <w:rPr>
                <w:noProof/>
                <w:webHidden/>
              </w:rPr>
            </w:r>
            <w:r>
              <w:rPr>
                <w:noProof/>
                <w:webHidden/>
              </w:rPr>
              <w:fldChar w:fldCharType="separate"/>
            </w:r>
            <w:r w:rsidR="00CE5DAF">
              <w:rPr>
                <w:noProof/>
                <w:webHidden/>
              </w:rPr>
              <w:t>1</w:t>
            </w:r>
            <w:r>
              <w:rPr>
                <w:noProof/>
                <w:webHidden/>
              </w:rPr>
              <w:fldChar w:fldCharType="end"/>
            </w:r>
          </w:hyperlink>
        </w:p>
        <w:p w14:paraId="788B7A85" w14:textId="4DEA7F61" w:rsidR="00DC2513" w:rsidRDefault="00DC2513">
          <w:pPr>
            <w:pStyle w:val="TOC1"/>
            <w:tabs>
              <w:tab w:val="right" w:leader="dot" w:pos="9629"/>
            </w:tabs>
            <w:rPr>
              <w:rFonts w:asciiTheme="minorHAnsi" w:eastAsiaTheme="minorEastAsia" w:hAnsiTheme="minorHAnsi" w:cstheme="minorBidi"/>
              <w:noProof/>
              <w:lang w:eastAsia="ro-RO"/>
            </w:rPr>
          </w:pPr>
          <w:hyperlink w:anchor="_Toc78795655" w:history="1">
            <w:r w:rsidRPr="00A87F5B">
              <w:rPr>
                <w:rStyle w:val="Hyperlink"/>
                <w:noProof/>
              </w:rPr>
              <w:t>Cuprins</w:t>
            </w:r>
            <w:r>
              <w:rPr>
                <w:noProof/>
                <w:webHidden/>
              </w:rPr>
              <w:tab/>
            </w:r>
            <w:r>
              <w:rPr>
                <w:noProof/>
                <w:webHidden/>
              </w:rPr>
              <w:fldChar w:fldCharType="begin"/>
            </w:r>
            <w:r>
              <w:rPr>
                <w:noProof/>
                <w:webHidden/>
              </w:rPr>
              <w:instrText xml:space="preserve"> PAGEREF _Toc78795655 \h </w:instrText>
            </w:r>
            <w:r>
              <w:rPr>
                <w:noProof/>
                <w:webHidden/>
              </w:rPr>
            </w:r>
            <w:r>
              <w:rPr>
                <w:noProof/>
                <w:webHidden/>
              </w:rPr>
              <w:fldChar w:fldCharType="separate"/>
            </w:r>
            <w:r w:rsidR="00CE5DAF">
              <w:rPr>
                <w:noProof/>
                <w:webHidden/>
              </w:rPr>
              <w:t>1</w:t>
            </w:r>
            <w:r>
              <w:rPr>
                <w:noProof/>
                <w:webHidden/>
              </w:rPr>
              <w:fldChar w:fldCharType="end"/>
            </w:r>
          </w:hyperlink>
        </w:p>
        <w:p w14:paraId="19E83AAD" w14:textId="1347B6EC" w:rsidR="00DC2513" w:rsidRDefault="00DC2513">
          <w:pPr>
            <w:pStyle w:val="TOC1"/>
            <w:tabs>
              <w:tab w:val="right" w:leader="dot" w:pos="9629"/>
            </w:tabs>
            <w:rPr>
              <w:rFonts w:asciiTheme="minorHAnsi" w:eastAsiaTheme="minorEastAsia" w:hAnsiTheme="minorHAnsi" w:cstheme="minorBidi"/>
              <w:noProof/>
              <w:lang w:eastAsia="ro-RO"/>
            </w:rPr>
          </w:pPr>
          <w:hyperlink w:anchor="_Toc78795656" w:history="1">
            <w:r w:rsidRPr="00A87F5B">
              <w:rPr>
                <w:rStyle w:val="Hyperlink"/>
                <w:noProof/>
              </w:rPr>
              <w:t>1.Strategia programului: principalele provocări și măsurile de politică aferente</w:t>
            </w:r>
            <w:r>
              <w:rPr>
                <w:noProof/>
                <w:webHidden/>
              </w:rPr>
              <w:tab/>
            </w:r>
            <w:r>
              <w:rPr>
                <w:noProof/>
                <w:webHidden/>
              </w:rPr>
              <w:fldChar w:fldCharType="begin"/>
            </w:r>
            <w:r>
              <w:rPr>
                <w:noProof/>
                <w:webHidden/>
              </w:rPr>
              <w:instrText xml:space="preserve"> PAGEREF _Toc78795656 \h </w:instrText>
            </w:r>
            <w:r>
              <w:rPr>
                <w:noProof/>
                <w:webHidden/>
              </w:rPr>
            </w:r>
            <w:r>
              <w:rPr>
                <w:noProof/>
                <w:webHidden/>
              </w:rPr>
              <w:fldChar w:fldCharType="separate"/>
            </w:r>
            <w:r w:rsidR="00CE5DAF">
              <w:rPr>
                <w:noProof/>
                <w:webHidden/>
              </w:rPr>
              <w:t>3</w:t>
            </w:r>
            <w:r>
              <w:rPr>
                <w:noProof/>
                <w:webHidden/>
              </w:rPr>
              <w:fldChar w:fldCharType="end"/>
            </w:r>
          </w:hyperlink>
        </w:p>
        <w:p w14:paraId="7D1FCA26" w14:textId="7E9FE68F" w:rsidR="00DC2513" w:rsidRDefault="00DC2513">
          <w:pPr>
            <w:pStyle w:val="TOC2"/>
            <w:tabs>
              <w:tab w:val="right" w:leader="dot" w:pos="9629"/>
            </w:tabs>
            <w:rPr>
              <w:rFonts w:asciiTheme="minorHAnsi" w:eastAsiaTheme="minorEastAsia" w:hAnsiTheme="minorHAnsi" w:cstheme="minorBidi"/>
              <w:noProof/>
              <w:lang w:eastAsia="ro-RO"/>
            </w:rPr>
          </w:pPr>
          <w:hyperlink w:anchor="_Toc78795657" w:history="1">
            <w:r w:rsidRPr="00A87F5B">
              <w:rPr>
                <w:rStyle w:val="Hyperlink"/>
                <w:noProof/>
              </w:rPr>
              <w:t>Cadrul strategic și competențe</w:t>
            </w:r>
            <w:r>
              <w:rPr>
                <w:noProof/>
                <w:webHidden/>
              </w:rPr>
              <w:tab/>
            </w:r>
            <w:r>
              <w:rPr>
                <w:noProof/>
                <w:webHidden/>
              </w:rPr>
              <w:fldChar w:fldCharType="begin"/>
            </w:r>
            <w:r>
              <w:rPr>
                <w:noProof/>
                <w:webHidden/>
              </w:rPr>
              <w:instrText xml:space="preserve"> PAGEREF _Toc78795657 \h </w:instrText>
            </w:r>
            <w:r>
              <w:rPr>
                <w:noProof/>
                <w:webHidden/>
              </w:rPr>
            </w:r>
            <w:r>
              <w:rPr>
                <w:noProof/>
                <w:webHidden/>
              </w:rPr>
              <w:fldChar w:fldCharType="separate"/>
            </w:r>
            <w:r w:rsidR="00CE5DAF">
              <w:rPr>
                <w:noProof/>
                <w:webHidden/>
              </w:rPr>
              <w:t>3</w:t>
            </w:r>
            <w:r>
              <w:rPr>
                <w:noProof/>
                <w:webHidden/>
              </w:rPr>
              <w:fldChar w:fldCharType="end"/>
            </w:r>
          </w:hyperlink>
        </w:p>
        <w:p w14:paraId="479B02B3" w14:textId="24EBF9CC" w:rsidR="00DC2513" w:rsidRDefault="00DC2513">
          <w:pPr>
            <w:pStyle w:val="TOC2"/>
            <w:tabs>
              <w:tab w:val="right" w:leader="dot" w:pos="9629"/>
            </w:tabs>
            <w:rPr>
              <w:rFonts w:asciiTheme="minorHAnsi" w:eastAsiaTheme="minorEastAsia" w:hAnsiTheme="minorHAnsi" w:cstheme="minorBidi"/>
              <w:noProof/>
              <w:lang w:eastAsia="ro-RO"/>
            </w:rPr>
          </w:pPr>
          <w:hyperlink w:anchor="_Toc78795658" w:history="1">
            <w:r w:rsidRPr="00A87F5B">
              <w:rPr>
                <w:rStyle w:val="Hyperlink"/>
                <w:noProof/>
              </w:rPr>
              <w:t>Stadiul implementării și principalele provocări la nivel național</w:t>
            </w:r>
            <w:r>
              <w:rPr>
                <w:noProof/>
                <w:webHidden/>
              </w:rPr>
              <w:tab/>
            </w:r>
            <w:r>
              <w:rPr>
                <w:noProof/>
                <w:webHidden/>
              </w:rPr>
              <w:fldChar w:fldCharType="begin"/>
            </w:r>
            <w:r>
              <w:rPr>
                <w:noProof/>
                <w:webHidden/>
              </w:rPr>
              <w:instrText xml:space="preserve"> PAGEREF _Toc78795658 \h </w:instrText>
            </w:r>
            <w:r>
              <w:rPr>
                <w:noProof/>
                <w:webHidden/>
              </w:rPr>
            </w:r>
            <w:r>
              <w:rPr>
                <w:noProof/>
                <w:webHidden/>
              </w:rPr>
              <w:fldChar w:fldCharType="separate"/>
            </w:r>
            <w:r w:rsidR="00CE5DAF">
              <w:rPr>
                <w:noProof/>
                <w:webHidden/>
              </w:rPr>
              <w:t>4</w:t>
            </w:r>
            <w:r>
              <w:rPr>
                <w:noProof/>
                <w:webHidden/>
              </w:rPr>
              <w:fldChar w:fldCharType="end"/>
            </w:r>
          </w:hyperlink>
        </w:p>
        <w:p w14:paraId="20C36046" w14:textId="6376A42B" w:rsidR="00DC2513" w:rsidRDefault="00DC2513">
          <w:pPr>
            <w:pStyle w:val="TOC1"/>
            <w:tabs>
              <w:tab w:val="right" w:leader="dot" w:pos="9629"/>
            </w:tabs>
            <w:rPr>
              <w:rFonts w:asciiTheme="minorHAnsi" w:eastAsiaTheme="minorEastAsia" w:hAnsiTheme="minorHAnsi" w:cstheme="minorBidi"/>
              <w:noProof/>
              <w:lang w:eastAsia="ro-RO"/>
            </w:rPr>
          </w:pPr>
          <w:hyperlink w:anchor="_Toc78795659" w:history="1">
            <w:r w:rsidRPr="00A87F5B">
              <w:rPr>
                <w:rStyle w:val="Hyperlink"/>
                <w:noProof/>
              </w:rPr>
              <w:t>2.Obiective specifice</w:t>
            </w:r>
            <w:r>
              <w:rPr>
                <w:noProof/>
                <w:webHidden/>
              </w:rPr>
              <w:tab/>
            </w:r>
            <w:r>
              <w:rPr>
                <w:noProof/>
                <w:webHidden/>
              </w:rPr>
              <w:fldChar w:fldCharType="begin"/>
            </w:r>
            <w:r>
              <w:rPr>
                <w:noProof/>
                <w:webHidden/>
              </w:rPr>
              <w:instrText xml:space="preserve"> PAGEREF _Toc78795659 \h </w:instrText>
            </w:r>
            <w:r>
              <w:rPr>
                <w:noProof/>
                <w:webHidden/>
              </w:rPr>
            </w:r>
            <w:r>
              <w:rPr>
                <w:noProof/>
                <w:webHidden/>
              </w:rPr>
              <w:fldChar w:fldCharType="separate"/>
            </w:r>
            <w:r w:rsidR="00CE5DAF">
              <w:rPr>
                <w:noProof/>
                <w:webHidden/>
              </w:rPr>
              <w:t>7</w:t>
            </w:r>
            <w:r>
              <w:rPr>
                <w:noProof/>
                <w:webHidden/>
              </w:rPr>
              <w:fldChar w:fldCharType="end"/>
            </w:r>
          </w:hyperlink>
        </w:p>
        <w:p w14:paraId="02512FB4" w14:textId="5BC50949" w:rsidR="00DC2513" w:rsidRDefault="00DC2513">
          <w:pPr>
            <w:pStyle w:val="TOC1"/>
            <w:tabs>
              <w:tab w:val="right" w:leader="dot" w:pos="9629"/>
            </w:tabs>
            <w:rPr>
              <w:rFonts w:asciiTheme="minorHAnsi" w:eastAsiaTheme="minorEastAsia" w:hAnsiTheme="minorHAnsi" w:cstheme="minorBidi"/>
              <w:noProof/>
              <w:lang w:eastAsia="ro-RO"/>
            </w:rPr>
          </w:pPr>
          <w:hyperlink w:anchor="_Toc78795660" w:history="1">
            <w:r w:rsidRPr="00A87F5B">
              <w:rPr>
                <w:rStyle w:val="Hyperlink"/>
                <w:noProof/>
              </w:rPr>
              <w:t>2.1. OS1 Sprijinirea unei gestionări europene integrate eficace a frontierelor externe, pusă în aplicare de poliția de frontieră și garda de coastă la nivel european ca responsabilitate comună a Agenției Europene pentru Poliția de Frontieră și Garda de Coastă și a autorităților naționale responsabile cu gestionarea frontierelor, în scopul facilitării trecerii legale a frontierei, al prevenirii și al depistării imigrației ilegale și a criminalității transfrontaliere, precum și al gestionării eficace a fluxurilor de migrație</w:t>
            </w:r>
            <w:r>
              <w:rPr>
                <w:noProof/>
                <w:webHidden/>
              </w:rPr>
              <w:tab/>
            </w:r>
            <w:r>
              <w:rPr>
                <w:noProof/>
                <w:webHidden/>
              </w:rPr>
              <w:fldChar w:fldCharType="begin"/>
            </w:r>
            <w:r>
              <w:rPr>
                <w:noProof/>
                <w:webHidden/>
              </w:rPr>
              <w:instrText xml:space="preserve"> PAGEREF _Toc78795660 \h </w:instrText>
            </w:r>
            <w:r>
              <w:rPr>
                <w:noProof/>
                <w:webHidden/>
              </w:rPr>
            </w:r>
            <w:r>
              <w:rPr>
                <w:noProof/>
                <w:webHidden/>
              </w:rPr>
              <w:fldChar w:fldCharType="separate"/>
            </w:r>
            <w:r w:rsidR="00CE5DAF">
              <w:rPr>
                <w:noProof/>
                <w:webHidden/>
              </w:rPr>
              <w:t>8</w:t>
            </w:r>
            <w:r>
              <w:rPr>
                <w:noProof/>
                <w:webHidden/>
              </w:rPr>
              <w:fldChar w:fldCharType="end"/>
            </w:r>
          </w:hyperlink>
        </w:p>
        <w:p w14:paraId="7F9FD0CC" w14:textId="381F6211" w:rsidR="00DC2513" w:rsidRDefault="00DC2513">
          <w:pPr>
            <w:pStyle w:val="TOC2"/>
            <w:tabs>
              <w:tab w:val="right" w:leader="dot" w:pos="9629"/>
            </w:tabs>
            <w:rPr>
              <w:rFonts w:asciiTheme="minorHAnsi" w:eastAsiaTheme="minorEastAsia" w:hAnsiTheme="minorHAnsi" w:cstheme="minorBidi"/>
              <w:noProof/>
              <w:lang w:eastAsia="ro-RO"/>
            </w:rPr>
          </w:pPr>
          <w:hyperlink w:anchor="_Toc78795661" w:history="1">
            <w:r w:rsidRPr="00A87F5B">
              <w:rPr>
                <w:rStyle w:val="Hyperlink"/>
                <w:noProof/>
              </w:rPr>
              <w:t>2.1.1. OS1 Descrierea unui obiectiv specific</w:t>
            </w:r>
            <w:r>
              <w:rPr>
                <w:noProof/>
                <w:webHidden/>
              </w:rPr>
              <w:tab/>
            </w:r>
            <w:r>
              <w:rPr>
                <w:noProof/>
                <w:webHidden/>
              </w:rPr>
              <w:fldChar w:fldCharType="begin"/>
            </w:r>
            <w:r>
              <w:rPr>
                <w:noProof/>
                <w:webHidden/>
              </w:rPr>
              <w:instrText xml:space="preserve"> PAGEREF _Toc78795661 \h </w:instrText>
            </w:r>
            <w:r>
              <w:rPr>
                <w:noProof/>
                <w:webHidden/>
              </w:rPr>
            </w:r>
            <w:r>
              <w:rPr>
                <w:noProof/>
                <w:webHidden/>
              </w:rPr>
              <w:fldChar w:fldCharType="separate"/>
            </w:r>
            <w:r w:rsidR="00CE5DAF">
              <w:rPr>
                <w:noProof/>
                <w:webHidden/>
              </w:rPr>
              <w:t>8</w:t>
            </w:r>
            <w:r>
              <w:rPr>
                <w:noProof/>
                <w:webHidden/>
              </w:rPr>
              <w:fldChar w:fldCharType="end"/>
            </w:r>
          </w:hyperlink>
        </w:p>
        <w:p w14:paraId="311A1C19" w14:textId="12C48B42" w:rsidR="00DC2513" w:rsidRDefault="00DC2513">
          <w:pPr>
            <w:pStyle w:val="TOC2"/>
            <w:tabs>
              <w:tab w:val="right" w:leader="dot" w:pos="9629"/>
            </w:tabs>
            <w:rPr>
              <w:rFonts w:asciiTheme="minorHAnsi" w:eastAsiaTheme="minorEastAsia" w:hAnsiTheme="minorHAnsi" w:cstheme="minorBidi"/>
              <w:noProof/>
              <w:lang w:eastAsia="ro-RO"/>
            </w:rPr>
          </w:pPr>
          <w:hyperlink w:anchor="_Toc78795662" w:history="1">
            <w:r w:rsidRPr="00A87F5B">
              <w:rPr>
                <w:rStyle w:val="Hyperlink"/>
                <w:noProof/>
              </w:rPr>
              <w:t>OS1.1 - Schimbul de informații și analiza integrată a riscurilor și a amenințărilor susceptibile să afecteze funcționarea sau securitatea frontierelor externe</w:t>
            </w:r>
            <w:r>
              <w:rPr>
                <w:noProof/>
                <w:webHidden/>
              </w:rPr>
              <w:tab/>
            </w:r>
            <w:r>
              <w:rPr>
                <w:noProof/>
                <w:webHidden/>
              </w:rPr>
              <w:fldChar w:fldCharType="begin"/>
            </w:r>
            <w:r>
              <w:rPr>
                <w:noProof/>
                <w:webHidden/>
              </w:rPr>
              <w:instrText xml:space="preserve"> PAGEREF _Toc78795662 \h </w:instrText>
            </w:r>
            <w:r>
              <w:rPr>
                <w:noProof/>
                <w:webHidden/>
              </w:rPr>
            </w:r>
            <w:r>
              <w:rPr>
                <w:noProof/>
                <w:webHidden/>
              </w:rPr>
              <w:fldChar w:fldCharType="separate"/>
            </w:r>
            <w:r w:rsidR="00CE5DAF">
              <w:rPr>
                <w:noProof/>
                <w:webHidden/>
              </w:rPr>
              <w:t>8</w:t>
            </w:r>
            <w:r>
              <w:rPr>
                <w:noProof/>
                <w:webHidden/>
              </w:rPr>
              <w:fldChar w:fldCharType="end"/>
            </w:r>
          </w:hyperlink>
        </w:p>
        <w:p w14:paraId="51B4AA8C" w14:textId="593A0B79" w:rsidR="00DC2513" w:rsidRDefault="00DC2513">
          <w:pPr>
            <w:pStyle w:val="TOC2"/>
            <w:tabs>
              <w:tab w:val="right" w:leader="dot" w:pos="9629"/>
            </w:tabs>
            <w:rPr>
              <w:rFonts w:asciiTheme="minorHAnsi" w:eastAsiaTheme="minorEastAsia" w:hAnsiTheme="minorHAnsi" w:cstheme="minorBidi"/>
              <w:noProof/>
              <w:lang w:eastAsia="ro-RO"/>
            </w:rPr>
          </w:pPr>
          <w:hyperlink w:anchor="_Toc78795663" w:history="1">
            <w:r w:rsidRPr="00A87F5B">
              <w:rPr>
                <w:rStyle w:val="Hyperlink"/>
                <w:noProof/>
              </w:rPr>
              <w:t>OS1.2 - Consolidarea capacităților privind supravegherea frontierelor pentru prevenirea și depistarea criminalității transfrontaliere, în principal introducerea ilegală de migranți, traficul de persoane și terorismul</w:t>
            </w:r>
            <w:r>
              <w:rPr>
                <w:noProof/>
                <w:webHidden/>
              </w:rPr>
              <w:tab/>
            </w:r>
            <w:r>
              <w:rPr>
                <w:noProof/>
                <w:webHidden/>
              </w:rPr>
              <w:fldChar w:fldCharType="begin"/>
            </w:r>
            <w:r>
              <w:rPr>
                <w:noProof/>
                <w:webHidden/>
              </w:rPr>
              <w:instrText xml:space="preserve"> PAGEREF _Toc78795663 \h </w:instrText>
            </w:r>
            <w:r>
              <w:rPr>
                <w:noProof/>
                <w:webHidden/>
              </w:rPr>
            </w:r>
            <w:r>
              <w:rPr>
                <w:noProof/>
                <w:webHidden/>
              </w:rPr>
              <w:fldChar w:fldCharType="separate"/>
            </w:r>
            <w:r w:rsidR="00CE5DAF">
              <w:rPr>
                <w:noProof/>
                <w:webHidden/>
              </w:rPr>
              <w:t>9</w:t>
            </w:r>
            <w:r>
              <w:rPr>
                <w:noProof/>
                <w:webHidden/>
              </w:rPr>
              <w:fldChar w:fldCharType="end"/>
            </w:r>
          </w:hyperlink>
        </w:p>
        <w:p w14:paraId="1AFF90EE" w14:textId="308AA5CD" w:rsidR="00DC2513" w:rsidRDefault="00DC2513">
          <w:pPr>
            <w:pStyle w:val="TOC2"/>
            <w:tabs>
              <w:tab w:val="right" w:leader="dot" w:pos="9629"/>
            </w:tabs>
            <w:rPr>
              <w:rFonts w:asciiTheme="minorHAnsi" w:eastAsiaTheme="minorEastAsia" w:hAnsiTheme="minorHAnsi" w:cstheme="minorBidi"/>
              <w:noProof/>
              <w:lang w:eastAsia="ro-RO"/>
            </w:rPr>
          </w:pPr>
          <w:hyperlink w:anchor="_Toc78795664" w:history="1">
            <w:r w:rsidRPr="00A87F5B">
              <w:rPr>
                <w:rStyle w:val="Hyperlink"/>
                <w:noProof/>
              </w:rPr>
              <w:t>OS1.3 - Îmbunătățirea verificărilor la frontiere prin consolidarea capacităților pentru efectuarea de verificări la frontiere în vederea prevenirii și depistării criminalității transfrontaliere și pentru facilitarea trecerii legale a frontierei</w:t>
            </w:r>
            <w:r>
              <w:rPr>
                <w:noProof/>
                <w:webHidden/>
              </w:rPr>
              <w:tab/>
            </w:r>
            <w:r>
              <w:rPr>
                <w:noProof/>
                <w:webHidden/>
              </w:rPr>
              <w:fldChar w:fldCharType="begin"/>
            </w:r>
            <w:r>
              <w:rPr>
                <w:noProof/>
                <w:webHidden/>
              </w:rPr>
              <w:instrText xml:space="preserve"> PAGEREF _Toc78795664 \h </w:instrText>
            </w:r>
            <w:r>
              <w:rPr>
                <w:noProof/>
                <w:webHidden/>
              </w:rPr>
            </w:r>
            <w:r>
              <w:rPr>
                <w:noProof/>
                <w:webHidden/>
              </w:rPr>
              <w:fldChar w:fldCharType="separate"/>
            </w:r>
            <w:r w:rsidR="00CE5DAF">
              <w:rPr>
                <w:noProof/>
                <w:webHidden/>
              </w:rPr>
              <w:t>9</w:t>
            </w:r>
            <w:r>
              <w:rPr>
                <w:noProof/>
                <w:webHidden/>
              </w:rPr>
              <w:fldChar w:fldCharType="end"/>
            </w:r>
          </w:hyperlink>
        </w:p>
        <w:p w14:paraId="5967CCA8" w14:textId="060BBCD1" w:rsidR="00DC2513" w:rsidRDefault="00DC2513">
          <w:pPr>
            <w:pStyle w:val="TOC2"/>
            <w:tabs>
              <w:tab w:val="right" w:leader="dot" w:pos="9629"/>
            </w:tabs>
            <w:rPr>
              <w:rFonts w:asciiTheme="minorHAnsi" w:eastAsiaTheme="minorEastAsia" w:hAnsiTheme="minorHAnsi" w:cstheme="minorBidi"/>
              <w:noProof/>
              <w:lang w:eastAsia="ro-RO"/>
            </w:rPr>
          </w:pPr>
          <w:hyperlink w:anchor="_Toc78795665" w:history="1">
            <w:r w:rsidRPr="00A87F5B">
              <w:rPr>
                <w:rStyle w:val="Hyperlink"/>
                <w:noProof/>
              </w:rPr>
              <w:t>OS1.4. Instituirea, dezvoltarea și optimizarea sistemelor TIC pentru managementul integrat al frontierelor, inclusiv interoperabilitatea și infrastructura asociată acestora</w:t>
            </w:r>
            <w:r>
              <w:rPr>
                <w:noProof/>
                <w:webHidden/>
              </w:rPr>
              <w:tab/>
            </w:r>
            <w:r>
              <w:rPr>
                <w:noProof/>
                <w:webHidden/>
              </w:rPr>
              <w:fldChar w:fldCharType="begin"/>
            </w:r>
            <w:r>
              <w:rPr>
                <w:noProof/>
                <w:webHidden/>
              </w:rPr>
              <w:instrText xml:space="preserve"> PAGEREF _Toc78795665 \h </w:instrText>
            </w:r>
            <w:r>
              <w:rPr>
                <w:noProof/>
                <w:webHidden/>
              </w:rPr>
            </w:r>
            <w:r>
              <w:rPr>
                <w:noProof/>
                <w:webHidden/>
              </w:rPr>
              <w:fldChar w:fldCharType="separate"/>
            </w:r>
            <w:r w:rsidR="00CE5DAF">
              <w:rPr>
                <w:noProof/>
                <w:webHidden/>
              </w:rPr>
              <w:t>10</w:t>
            </w:r>
            <w:r>
              <w:rPr>
                <w:noProof/>
                <w:webHidden/>
              </w:rPr>
              <w:fldChar w:fldCharType="end"/>
            </w:r>
          </w:hyperlink>
        </w:p>
        <w:p w14:paraId="7E232CD5" w14:textId="2D6AEA28" w:rsidR="00DC2513" w:rsidRDefault="00DC2513">
          <w:pPr>
            <w:pStyle w:val="TOC2"/>
            <w:tabs>
              <w:tab w:val="right" w:leader="dot" w:pos="9629"/>
            </w:tabs>
            <w:rPr>
              <w:rFonts w:asciiTheme="minorHAnsi" w:eastAsiaTheme="minorEastAsia" w:hAnsiTheme="minorHAnsi" w:cstheme="minorBidi"/>
              <w:noProof/>
              <w:lang w:eastAsia="ro-RO"/>
            </w:rPr>
          </w:pPr>
          <w:hyperlink w:anchor="_Toc78795666" w:history="1">
            <w:r w:rsidRPr="00A87F5B">
              <w:rPr>
                <w:rStyle w:val="Hyperlink"/>
                <w:noProof/>
              </w:rPr>
              <w:t>OS1.5- Îmbunătățirea cooperării interinstituționale la nivel național, european și cu țări terțe și activități de formare, studii, schimb de bune practici și de expertiză,  în domeniul managementului integrat al frontierelor</w:t>
            </w:r>
            <w:r>
              <w:rPr>
                <w:noProof/>
                <w:webHidden/>
              </w:rPr>
              <w:tab/>
            </w:r>
            <w:r>
              <w:rPr>
                <w:noProof/>
                <w:webHidden/>
              </w:rPr>
              <w:fldChar w:fldCharType="begin"/>
            </w:r>
            <w:r>
              <w:rPr>
                <w:noProof/>
                <w:webHidden/>
              </w:rPr>
              <w:instrText xml:space="preserve"> PAGEREF _Toc78795666 \h </w:instrText>
            </w:r>
            <w:r>
              <w:rPr>
                <w:noProof/>
                <w:webHidden/>
              </w:rPr>
            </w:r>
            <w:r>
              <w:rPr>
                <w:noProof/>
                <w:webHidden/>
              </w:rPr>
              <w:fldChar w:fldCharType="separate"/>
            </w:r>
            <w:r w:rsidR="00CE5DAF">
              <w:rPr>
                <w:noProof/>
                <w:webHidden/>
              </w:rPr>
              <w:t>11</w:t>
            </w:r>
            <w:r>
              <w:rPr>
                <w:noProof/>
                <w:webHidden/>
              </w:rPr>
              <w:fldChar w:fldCharType="end"/>
            </w:r>
          </w:hyperlink>
        </w:p>
        <w:p w14:paraId="267BE57C" w14:textId="66AF4E9C" w:rsidR="00DC2513" w:rsidRDefault="00DC2513">
          <w:pPr>
            <w:pStyle w:val="TOC2"/>
            <w:tabs>
              <w:tab w:val="right" w:leader="dot" w:pos="9629"/>
            </w:tabs>
            <w:rPr>
              <w:rFonts w:asciiTheme="minorHAnsi" w:eastAsiaTheme="minorEastAsia" w:hAnsiTheme="minorHAnsi" w:cstheme="minorBidi"/>
              <w:noProof/>
              <w:lang w:eastAsia="ro-RO"/>
            </w:rPr>
          </w:pPr>
          <w:hyperlink w:anchor="_Toc78795667" w:history="1">
            <w:r w:rsidRPr="00A87F5B">
              <w:rPr>
                <w:rStyle w:val="Hyperlink"/>
                <w:noProof/>
              </w:rPr>
              <w:t>OS1.6 - Sprijin operațional - frontiere</w:t>
            </w:r>
            <w:r>
              <w:rPr>
                <w:noProof/>
                <w:webHidden/>
              </w:rPr>
              <w:tab/>
            </w:r>
            <w:r>
              <w:rPr>
                <w:noProof/>
                <w:webHidden/>
              </w:rPr>
              <w:fldChar w:fldCharType="begin"/>
            </w:r>
            <w:r>
              <w:rPr>
                <w:noProof/>
                <w:webHidden/>
              </w:rPr>
              <w:instrText xml:space="preserve"> PAGEREF _Toc78795667 \h </w:instrText>
            </w:r>
            <w:r>
              <w:rPr>
                <w:noProof/>
                <w:webHidden/>
              </w:rPr>
            </w:r>
            <w:r>
              <w:rPr>
                <w:noProof/>
                <w:webHidden/>
              </w:rPr>
              <w:fldChar w:fldCharType="separate"/>
            </w:r>
            <w:r w:rsidR="00CE5DAF">
              <w:rPr>
                <w:noProof/>
                <w:webHidden/>
              </w:rPr>
              <w:t>12</w:t>
            </w:r>
            <w:r>
              <w:rPr>
                <w:noProof/>
                <w:webHidden/>
              </w:rPr>
              <w:fldChar w:fldCharType="end"/>
            </w:r>
          </w:hyperlink>
        </w:p>
        <w:p w14:paraId="7A1F947E" w14:textId="19501E89" w:rsidR="00DC2513" w:rsidRDefault="00DC2513">
          <w:pPr>
            <w:pStyle w:val="TOC2"/>
            <w:tabs>
              <w:tab w:val="right" w:leader="dot" w:pos="9629"/>
            </w:tabs>
            <w:rPr>
              <w:rFonts w:asciiTheme="minorHAnsi" w:eastAsiaTheme="minorEastAsia" w:hAnsiTheme="minorHAnsi" w:cstheme="minorBidi"/>
              <w:noProof/>
              <w:lang w:eastAsia="ro-RO"/>
            </w:rPr>
          </w:pPr>
          <w:hyperlink w:anchor="_Toc78795668" w:history="1">
            <w:r w:rsidRPr="00A87F5B">
              <w:rPr>
                <w:rStyle w:val="Hyperlink"/>
                <w:noProof/>
              </w:rPr>
              <w:t>2.1.2. Indicatori</w:t>
            </w:r>
            <w:r>
              <w:rPr>
                <w:noProof/>
                <w:webHidden/>
              </w:rPr>
              <w:tab/>
            </w:r>
            <w:r>
              <w:rPr>
                <w:noProof/>
                <w:webHidden/>
              </w:rPr>
              <w:fldChar w:fldCharType="begin"/>
            </w:r>
            <w:r>
              <w:rPr>
                <w:noProof/>
                <w:webHidden/>
              </w:rPr>
              <w:instrText xml:space="preserve"> PAGEREF _Toc78795668 \h </w:instrText>
            </w:r>
            <w:r>
              <w:rPr>
                <w:noProof/>
                <w:webHidden/>
              </w:rPr>
            </w:r>
            <w:r>
              <w:rPr>
                <w:noProof/>
                <w:webHidden/>
              </w:rPr>
              <w:fldChar w:fldCharType="separate"/>
            </w:r>
            <w:r w:rsidR="00CE5DAF">
              <w:rPr>
                <w:noProof/>
                <w:webHidden/>
              </w:rPr>
              <w:t>1</w:t>
            </w:r>
            <w:r>
              <w:rPr>
                <w:noProof/>
                <w:webHidden/>
              </w:rPr>
              <w:fldChar w:fldCharType="end"/>
            </w:r>
          </w:hyperlink>
        </w:p>
        <w:p w14:paraId="2890ACCC" w14:textId="4FC11F7C" w:rsidR="00DC2513" w:rsidRDefault="00DC2513">
          <w:pPr>
            <w:pStyle w:val="TOC2"/>
            <w:tabs>
              <w:tab w:val="right" w:leader="dot" w:pos="9629"/>
            </w:tabs>
            <w:rPr>
              <w:rFonts w:asciiTheme="minorHAnsi" w:eastAsiaTheme="minorEastAsia" w:hAnsiTheme="minorHAnsi" w:cstheme="minorBidi"/>
              <w:noProof/>
              <w:lang w:eastAsia="ro-RO"/>
            </w:rPr>
          </w:pPr>
          <w:hyperlink w:anchor="_Toc78795669" w:history="1">
            <w:r w:rsidRPr="00A87F5B">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_Toc78795669 \h </w:instrText>
            </w:r>
            <w:r>
              <w:rPr>
                <w:noProof/>
                <w:webHidden/>
              </w:rPr>
            </w:r>
            <w:r>
              <w:rPr>
                <w:noProof/>
                <w:webHidden/>
              </w:rPr>
              <w:fldChar w:fldCharType="separate"/>
            </w:r>
            <w:r w:rsidR="00CE5DAF">
              <w:rPr>
                <w:noProof/>
                <w:webHidden/>
              </w:rPr>
              <w:t>4</w:t>
            </w:r>
            <w:r>
              <w:rPr>
                <w:noProof/>
                <w:webHidden/>
              </w:rPr>
              <w:fldChar w:fldCharType="end"/>
            </w:r>
          </w:hyperlink>
        </w:p>
        <w:p w14:paraId="5141CDDF" w14:textId="7571CC1D" w:rsidR="00DC2513" w:rsidRDefault="00DC2513">
          <w:pPr>
            <w:pStyle w:val="TOC1"/>
            <w:tabs>
              <w:tab w:val="right" w:leader="dot" w:pos="9629"/>
            </w:tabs>
            <w:rPr>
              <w:rFonts w:asciiTheme="minorHAnsi" w:eastAsiaTheme="minorEastAsia" w:hAnsiTheme="minorHAnsi" w:cstheme="minorBidi"/>
              <w:noProof/>
              <w:lang w:eastAsia="ro-RO"/>
            </w:rPr>
          </w:pPr>
          <w:hyperlink w:anchor="_Toc78795670" w:history="1">
            <w:r w:rsidRPr="00A87F5B">
              <w:rPr>
                <w:rStyle w:val="Hyperlink"/>
                <w:noProof/>
              </w:rPr>
              <w:t>2.1. OS2 - Sprijinirea politicii comune în domeniul vizelor în scopul facilitării călătoriilor în scopuri legitime și al prevenirii riscurilor în materie de migrație și de securitate.</w:t>
            </w:r>
            <w:r>
              <w:rPr>
                <w:noProof/>
                <w:webHidden/>
              </w:rPr>
              <w:tab/>
            </w:r>
            <w:r>
              <w:rPr>
                <w:noProof/>
                <w:webHidden/>
              </w:rPr>
              <w:fldChar w:fldCharType="begin"/>
            </w:r>
            <w:r>
              <w:rPr>
                <w:noProof/>
                <w:webHidden/>
              </w:rPr>
              <w:instrText xml:space="preserve"> PAGEREF _Toc78795670 \h </w:instrText>
            </w:r>
            <w:r>
              <w:rPr>
                <w:noProof/>
                <w:webHidden/>
              </w:rPr>
            </w:r>
            <w:r>
              <w:rPr>
                <w:noProof/>
                <w:webHidden/>
              </w:rPr>
              <w:fldChar w:fldCharType="separate"/>
            </w:r>
            <w:r w:rsidR="00CE5DAF">
              <w:rPr>
                <w:noProof/>
                <w:webHidden/>
              </w:rPr>
              <w:t>5</w:t>
            </w:r>
            <w:r>
              <w:rPr>
                <w:noProof/>
                <w:webHidden/>
              </w:rPr>
              <w:fldChar w:fldCharType="end"/>
            </w:r>
          </w:hyperlink>
        </w:p>
        <w:p w14:paraId="6483D3F4" w14:textId="70B7D133" w:rsidR="00DC2513" w:rsidRDefault="00DC2513">
          <w:pPr>
            <w:pStyle w:val="TOC2"/>
            <w:tabs>
              <w:tab w:val="right" w:leader="dot" w:pos="9629"/>
            </w:tabs>
            <w:rPr>
              <w:rFonts w:asciiTheme="minorHAnsi" w:eastAsiaTheme="minorEastAsia" w:hAnsiTheme="minorHAnsi" w:cstheme="minorBidi"/>
              <w:noProof/>
              <w:lang w:eastAsia="ro-RO"/>
            </w:rPr>
          </w:pPr>
          <w:hyperlink w:anchor="_Toc78795671" w:history="1">
            <w:r w:rsidRPr="00A87F5B">
              <w:rPr>
                <w:rStyle w:val="Hyperlink"/>
                <w:noProof/>
              </w:rPr>
              <w:t>2.1.1. OS2 Descrierea unui obiectiv specific</w:t>
            </w:r>
            <w:r>
              <w:rPr>
                <w:noProof/>
                <w:webHidden/>
              </w:rPr>
              <w:tab/>
            </w:r>
            <w:r>
              <w:rPr>
                <w:noProof/>
                <w:webHidden/>
              </w:rPr>
              <w:fldChar w:fldCharType="begin"/>
            </w:r>
            <w:r>
              <w:rPr>
                <w:noProof/>
                <w:webHidden/>
              </w:rPr>
              <w:instrText xml:space="preserve"> PAGEREF _Toc78795671 \h </w:instrText>
            </w:r>
            <w:r>
              <w:rPr>
                <w:noProof/>
                <w:webHidden/>
              </w:rPr>
            </w:r>
            <w:r>
              <w:rPr>
                <w:noProof/>
                <w:webHidden/>
              </w:rPr>
              <w:fldChar w:fldCharType="separate"/>
            </w:r>
            <w:r w:rsidR="00CE5DAF">
              <w:rPr>
                <w:noProof/>
                <w:webHidden/>
              </w:rPr>
              <w:t>5</w:t>
            </w:r>
            <w:r>
              <w:rPr>
                <w:noProof/>
                <w:webHidden/>
              </w:rPr>
              <w:fldChar w:fldCharType="end"/>
            </w:r>
          </w:hyperlink>
        </w:p>
        <w:p w14:paraId="30671FB8" w14:textId="239B478C" w:rsidR="00DC2513" w:rsidRDefault="00DC2513">
          <w:pPr>
            <w:pStyle w:val="TOC2"/>
            <w:tabs>
              <w:tab w:val="right" w:leader="dot" w:pos="9629"/>
            </w:tabs>
            <w:rPr>
              <w:rFonts w:asciiTheme="minorHAnsi" w:eastAsiaTheme="minorEastAsia" w:hAnsiTheme="minorHAnsi" w:cstheme="minorBidi"/>
              <w:noProof/>
              <w:lang w:eastAsia="ro-RO"/>
            </w:rPr>
          </w:pPr>
          <w:hyperlink w:anchor="_Toc78795672" w:history="1">
            <w:r w:rsidRPr="00A87F5B">
              <w:rPr>
                <w:rStyle w:val="Hyperlink"/>
                <w:noProof/>
              </w:rPr>
              <w:t>OS2.1 - Dezvoltarea și modernizarea infrastructurii oficiilor consulare pentru furnizarea de servicii eficiente și ușor de utilizat pentru solicitanții de viză</w:t>
            </w:r>
            <w:r>
              <w:rPr>
                <w:noProof/>
                <w:webHidden/>
              </w:rPr>
              <w:tab/>
            </w:r>
            <w:r>
              <w:rPr>
                <w:noProof/>
                <w:webHidden/>
              </w:rPr>
              <w:fldChar w:fldCharType="begin"/>
            </w:r>
            <w:r>
              <w:rPr>
                <w:noProof/>
                <w:webHidden/>
              </w:rPr>
              <w:instrText xml:space="preserve"> PAGEREF _Toc78795672 \h </w:instrText>
            </w:r>
            <w:r>
              <w:rPr>
                <w:noProof/>
                <w:webHidden/>
              </w:rPr>
            </w:r>
            <w:r>
              <w:rPr>
                <w:noProof/>
                <w:webHidden/>
              </w:rPr>
              <w:fldChar w:fldCharType="separate"/>
            </w:r>
            <w:r w:rsidR="00CE5DAF">
              <w:rPr>
                <w:noProof/>
                <w:webHidden/>
              </w:rPr>
              <w:t>5</w:t>
            </w:r>
            <w:r>
              <w:rPr>
                <w:noProof/>
                <w:webHidden/>
              </w:rPr>
              <w:fldChar w:fldCharType="end"/>
            </w:r>
          </w:hyperlink>
        </w:p>
        <w:p w14:paraId="7F3894C8" w14:textId="08ECB97E" w:rsidR="00DC2513" w:rsidRDefault="00DC2513">
          <w:pPr>
            <w:pStyle w:val="TOC2"/>
            <w:tabs>
              <w:tab w:val="right" w:leader="dot" w:pos="9629"/>
            </w:tabs>
            <w:rPr>
              <w:rFonts w:asciiTheme="minorHAnsi" w:eastAsiaTheme="minorEastAsia" w:hAnsiTheme="minorHAnsi" w:cstheme="minorBidi"/>
              <w:noProof/>
              <w:lang w:eastAsia="ro-RO"/>
            </w:rPr>
          </w:pPr>
          <w:hyperlink w:anchor="_Toc78795673" w:history="1">
            <w:r w:rsidRPr="00A87F5B">
              <w:rPr>
                <w:rStyle w:val="Hyperlink"/>
                <w:noProof/>
              </w:rPr>
              <w:t>OS</w:t>
            </w:r>
            <w:r w:rsidRPr="00A87F5B">
              <w:rPr>
                <w:rStyle w:val="Hyperlink"/>
                <w:rFonts w:eastAsia="Arial"/>
                <w:noProof/>
              </w:rPr>
              <w:t xml:space="preserve">2.2 - Instituirea, dezvoltarea și optimizarea sistemelor TIC </w:t>
            </w:r>
            <w:r w:rsidRPr="00A87F5B">
              <w:rPr>
                <w:rStyle w:val="Hyperlink"/>
                <w:noProof/>
              </w:rPr>
              <w:t>în domeniul politicii comune a vizelor, inclusiv interoperabilitatea și infrastructura asociată acestora</w:t>
            </w:r>
            <w:r>
              <w:rPr>
                <w:noProof/>
                <w:webHidden/>
              </w:rPr>
              <w:tab/>
            </w:r>
            <w:r>
              <w:rPr>
                <w:noProof/>
                <w:webHidden/>
              </w:rPr>
              <w:fldChar w:fldCharType="begin"/>
            </w:r>
            <w:r>
              <w:rPr>
                <w:noProof/>
                <w:webHidden/>
              </w:rPr>
              <w:instrText xml:space="preserve"> PAGEREF _Toc78795673 \h </w:instrText>
            </w:r>
            <w:r>
              <w:rPr>
                <w:noProof/>
                <w:webHidden/>
              </w:rPr>
            </w:r>
            <w:r>
              <w:rPr>
                <w:noProof/>
                <w:webHidden/>
              </w:rPr>
              <w:fldChar w:fldCharType="separate"/>
            </w:r>
            <w:r w:rsidR="00CE5DAF">
              <w:rPr>
                <w:noProof/>
                <w:webHidden/>
              </w:rPr>
              <w:t>6</w:t>
            </w:r>
            <w:r>
              <w:rPr>
                <w:noProof/>
                <w:webHidden/>
              </w:rPr>
              <w:fldChar w:fldCharType="end"/>
            </w:r>
          </w:hyperlink>
        </w:p>
        <w:p w14:paraId="38B0ACAD" w14:textId="751C9407" w:rsidR="00DC2513" w:rsidRDefault="00DC2513">
          <w:pPr>
            <w:pStyle w:val="TOC2"/>
            <w:tabs>
              <w:tab w:val="right" w:leader="dot" w:pos="9629"/>
            </w:tabs>
            <w:rPr>
              <w:rFonts w:asciiTheme="minorHAnsi" w:eastAsiaTheme="minorEastAsia" w:hAnsiTheme="minorHAnsi" w:cstheme="minorBidi"/>
              <w:noProof/>
              <w:lang w:eastAsia="ro-RO"/>
            </w:rPr>
          </w:pPr>
          <w:hyperlink w:anchor="_Toc78795674" w:history="1">
            <w:r w:rsidRPr="00A87F5B">
              <w:rPr>
                <w:rStyle w:val="Hyperlink"/>
                <w:noProof/>
              </w:rPr>
              <w:t>OS3.3 - Dezvoltarea cooperării consulare și a programelor de formare a personalului care contribuie la politica comună în domeniul vizelor și la cooperarea consulară</w:t>
            </w:r>
            <w:r>
              <w:rPr>
                <w:noProof/>
                <w:webHidden/>
              </w:rPr>
              <w:tab/>
            </w:r>
            <w:r>
              <w:rPr>
                <w:noProof/>
                <w:webHidden/>
              </w:rPr>
              <w:fldChar w:fldCharType="begin"/>
            </w:r>
            <w:r>
              <w:rPr>
                <w:noProof/>
                <w:webHidden/>
              </w:rPr>
              <w:instrText xml:space="preserve"> PAGEREF _Toc78795674 \h </w:instrText>
            </w:r>
            <w:r>
              <w:rPr>
                <w:noProof/>
                <w:webHidden/>
              </w:rPr>
            </w:r>
            <w:r>
              <w:rPr>
                <w:noProof/>
                <w:webHidden/>
              </w:rPr>
              <w:fldChar w:fldCharType="separate"/>
            </w:r>
            <w:r w:rsidR="00CE5DAF">
              <w:rPr>
                <w:noProof/>
                <w:webHidden/>
              </w:rPr>
              <w:t>7</w:t>
            </w:r>
            <w:r>
              <w:rPr>
                <w:noProof/>
                <w:webHidden/>
              </w:rPr>
              <w:fldChar w:fldCharType="end"/>
            </w:r>
          </w:hyperlink>
        </w:p>
        <w:p w14:paraId="6CDD319A" w14:textId="7D9D82AF" w:rsidR="00DC2513" w:rsidRDefault="00DC2513">
          <w:pPr>
            <w:pStyle w:val="TOC2"/>
            <w:tabs>
              <w:tab w:val="right" w:leader="dot" w:pos="9629"/>
            </w:tabs>
            <w:rPr>
              <w:rFonts w:asciiTheme="minorHAnsi" w:eastAsiaTheme="minorEastAsia" w:hAnsiTheme="minorHAnsi" w:cstheme="minorBidi"/>
              <w:noProof/>
              <w:lang w:eastAsia="ro-RO"/>
            </w:rPr>
          </w:pPr>
          <w:hyperlink w:anchor="_Toc78795675" w:history="1">
            <w:r w:rsidRPr="00A87F5B">
              <w:rPr>
                <w:rStyle w:val="Hyperlink"/>
                <w:noProof/>
              </w:rPr>
              <w:t>OS2.4 - Sprijin operațional - vize</w:t>
            </w:r>
            <w:r>
              <w:rPr>
                <w:noProof/>
                <w:webHidden/>
              </w:rPr>
              <w:tab/>
            </w:r>
            <w:r>
              <w:rPr>
                <w:noProof/>
                <w:webHidden/>
              </w:rPr>
              <w:fldChar w:fldCharType="begin"/>
            </w:r>
            <w:r>
              <w:rPr>
                <w:noProof/>
                <w:webHidden/>
              </w:rPr>
              <w:instrText xml:space="preserve"> PAGEREF _Toc78795675 \h </w:instrText>
            </w:r>
            <w:r>
              <w:rPr>
                <w:noProof/>
                <w:webHidden/>
              </w:rPr>
            </w:r>
            <w:r>
              <w:rPr>
                <w:noProof/>
                <w:webHidden/>
              </w:rPr>
              <w:fldChar w:fldCharType="separate"/>
            </w:r>
            <w:r w:rsidR="00CE5DAF">
              <w:rPr>
                <w:noProof/>
                <w:webHidden/>
              </w:rPr>
              <w:t>7</w:t>
            </w:r>
            <w:r>
              <w:rPr>
                <w:noProof/>
                <w:webHidden/>
              </w:rPr>
              <w:fldChar w:fldCharType="end"/>
            </w:r>
          </w:hyperlink>
        </w:p>
        <w:p w14:paraId="7CC4C918" w14:textId="2F692EF0" w:rsidR="00DC2513" w:rsidRDefault="00DC2513">
          <w:pPr>
            <w:pStyle w:val="TOC2"/>
            <w:tabs>
              <w:tab w:val="right" w:leader="dot" w:pos="9629"/>
            </w:tabs>
            <w:rPr>
              <w:rFonts w:asciiTheme="minorHAnsi" w:eastAsiaTheme="minorEastAsia" w:hAnsiTheme="minorHAnsi" w:cstheme="minorBidi"/>
              <w:noProof/>
              <w:lang w:eastAsia="ro-RO"/>
            </w:rPr>
          </w:pPr>
          <w:hyperlink w:anchor="_Toc78795676" w:history="1">
            <w:r w:rsidRPr="00A87F5B">
              <w:rPr>
                <w:rStyle w:val="Hyperlink"/>
                <w:noProof/>
              </w:rPr>
              <w:t>2.1.2. Indicatori</w:t>
            </w:r>
            <w:r>
              <w:rPr>
                <w:noProof/>
                <w:webHidden/>
              </w:rPr>
              <w:tab/>
            </w:r>
            <w:r>
              <w:rPr>
                <w:noProof/>
                <w:webHidden/>
              </w:rPr>
              <w:fldChar w:fldCharType="begin"/>
            </w:r>
            <w:r>
              <w:rPr>
                <w:noProof/>
                <w:webHidden/>
              </w:rPr>
              <w:instrText xml:space="preserve"> PAGEREF _Toc78795676 \h </w:instrText>
            </w:r>
            <w:r>
              <w:rPr>
                <w:noProof/>
                <w:webHidden/>
              </w:rPr>
            </w:r>
            <w:r>
              <w:rPr>
                <w:noProof/>
                <w:webHidden/>
              </w:rPr>
              <w:fldChar w:fldCharType="separate"/>
            </w:r>
            <w:r w:rsidR="00CE5DAF">
              <w:rPr>
                <w:noProof/>
                <w:webHidden/>
              </w:rPr>
              <w:t>1</w:t>
            </w:r>
            <w:r>
              <w:rPr>
                <w:noProof/>
                <w:webHidden/>
              </w:rPr>
              <w:fldChar w:fldCharType="end"/>
            </w:r>
          </w:hyperlink>
        </w:p>
        <w:p w14:paraId="24638A24" w14:textId="6DF90219" w:rsidR="00DC2513" w:rsidRDefault="00DC2513">
          <w:pPr>
            <w:pStyle w:val="TOC2"/>
            <w:tabs>
              <w:tab w:val="right" w:leader="dot" w:pos="9629"/>
            </w:tabs>
            <w:rPr>
              <w:rFonts w:asciiTheme="minorHAnsi" w:eastAsiaTheme="minorEastAsia" w:hAnsiTheme="minorHAnsi" w:cstheme="minorBidi"/>
              <w:noProof/>
              <w:lang w:eastAsia="ro-RO"/>
            </w:rPr>
          </w:pPr>
          <w:hyperlink w:anchor="_Toc78795677" w:history="1">
            <w:r w:rsidRPr="00A87F5B">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_Toc78795677 \h </w:instrText>
            </w:r>
            <w:r>
              <w:rPr>
                <w:noProof/>
                <w:webHidden/>
              </w:rPr>
            </w:r>
            <w:r>
              <w:rPr>
                <w:noProof/>
                <w:webHidden/>
              </w:rPr>
              <w:fldChar w:fldCharType="separate"/>
            </w:r>
            <w:r w:rsidR="00CE5DAF">
              <w:rPr>
                <w:noProof/>
                <w:webHidden/>
              </w:rPr>
              <w:t>1</w:t>
            </w:r>
            <w:r>
              <w:rPr>
                <w:noProof/>
                <w:webHidden/>
              </w:rPr>
              <w:fldChar w:fldCharType="end"/>
            </w:r>
          </w:hyperlink>
        </w:p>
        <w:p w14:paraId="19B75AA0" w14:textId="19FC71D6" w:rsidR="00DC2513" w:rsidRDefault="00DC2513">
          <w:pPr>
            <w:pStyle w:val="TOC1"/>
            <w:tabs>
              <w:tab w:val="right" w:leader="dot" w:pos="9629"/>
            </w:tabs>
            <w:rPr>
              <w:rFonts w:asciiTheme="minorHAnsi" w:eastAsiaTheme="minorEastAsia" w:hAnsiTheme="minorHAnsi" w:cstheme="minorBidi"/>
              <w:noProof/>
              <w:lang w:eastAsia="ro-RO"/>
            </w:rPr>
          </w:pPr>
          <w:hyperlink w:anchor="_Toc78795678" w:history="1">
            <w:r w:rsidRPr="00A87F5B">
              <w:rPr>
                <w:rStyle w:val="Hyperlink"/>
                <w:i/>
                <w:noProof/>
              </w:rPr>
              <w:t>2.2</w:t>
            </w:r>
            <w:r w:rsidRPr="00A87F5B">
              <w:rPr>
                <w:rStyle w:val="Hyperlink"/>
                <w:noProof/>
              </w:rPr>
              <w:t xml:space="preserve"> Asistență tehnică</w:t>
            </w:r>
            <w:r>
              <w:rPr>
                <w:noProof/>
                <w:webHidden/>
              </w:rPr>
              <w:tab/>
            </w:r>
            <w:r>
              <w:rPr>
                <w:noProof/>
                <w:webHidden/>
              </w:rPr>
              <w:fldChar w:fldCharType="begin"/>
            </w:r>
            <w:r>
              <w:rPr>
                <w:noProof/>
                <w:webHidden/>
              </w:rPr>
              <w:instrText xml:space="preserve"> PAGEREF _Toc78795678 \h </w:instrText>
            </w:r>
            <w:r>
              <w:rPr>
                <w:noProof/>
                <w:webHidden/>
              </w:rPr>
            </w:r>
            <w:r>
              <w:rPr>
                <w:noProof/>
                <w:webHidden/>
              </w:rPr>
              <w:fldChar w:fldCharType="separate"/>
            </w:r>
            <w:r w:rsidR="00CE5DAF">
              <w:rPr>
                <w:noProof/>
                <w:webHidden/>
              </w:rPr>
              <w:t>1</w:t>
            </w:r>
            <w:r>
              <w:rPr>
                <w:noProof/>
                <w:webHidden/>
              </w:rPr>
              <w:fldChar w:fldCharType="end"/>
            </w:r>
          </w:hyperlink>
        </w:p>
        <w:p w14:paraId="2A1C73E8" w14:textId="3901346F" w:rsidR="00DC2513" w:rsidRDefault="00DC2513">
          <w:pPr>
            <w:pStyle w:val="TOC1"/>
            <w:tabs>
              <w:tab w:val="right" w:leader="dot" w:pos="9629"/>
            </w:tabs>
            <w:rPr>
              <w:rFonts w:asciiTheme="minorHAnsi" w:eastAsiaTheme="minorEastAsia" w:hAnsiTheme="minorHAnsi" w:cstheme="minorBidi"/>
              <w:noProof/>
              <w:lang w:eastAsia="ro-RO"/>
            </w:rPr>
          </w:pPr>
          <w:hyperlink w:anchor="_Toc78795679" w:history="1">
            <w:r w:rsidRPr="00A87F5B">
              <w:rPr>
                <w:rStyle w:val="Hyperlink"/>
                <w:noProof/>
              </w:rPr>
              <w:t>3. Planul de finanțare</w:t>
            </w:r>
            <w:r>
              <w:rPr>
                <w:noProof/>
                <w:webHidden/>
              </w:rPr>
              <w:tab/>
            </w:r>
            <w:r>
              <w:rPr>
                <w:noProof/>
                <w:webHidden/>
              </w:rPr>
              <w:fldChar w:fldCharType="begin"/>
            </w:r>
            <w:r>
              <w:rPr>
                <w:noProof/>
                <w:webHidden/>
              </w:rPr>
              <w:instrText xml:space="preserve"> PAGEREF _Toc78795679 \h </w:instrText>
            </w:r>
            <w:r>
              <w:rPr>
                <w:noProof/>
                <w:webHidden/>
              </w:rPr>
            </w:r>
            <w:r>
              <w:rPr>
                <w:noProof/>
                <w:webHidden/>
              </w:rPr>
              <w:fldChar w:fldCharType="separate"/>
            </w:r>
            <w:r w:rsidR="00CE5DAF">
              <w:rPr>
                <w:noProof/>
                <w:webHidden/>
              </w:rPr>
              <w:t>3</w:t>
            </w:r>
            <w:r>
              <w:rPr>
                <w:noProof/>
                <w:webHidden/>
              </w:rPr>
              <w:fldChar w:fldCharType="end"/>
            </w:r>
          </w:hyperlink>
        </w:p>
        <w:p w14:paraId="20976592" w14:textId="454DAB07" w:rsidR="00DC2513" w:rsidRDefault="00DC2513">
          <w:pPr>
            <w:pStyle w:val="TOC2"/>
            <w:tabs>
              <w:tab w:val="right" w:leader="dot" w:pos="9629"/>
            </w:tabs>
            <w:rPr>
              <w:rFonts w:asciiTheme="minorHAnsi" w:eastAsiaTheme="minorEastAsia" w:hAnsiTheme="minorHAnsi" w:cstheme="minorBidi"/>
              <w:noProof/>
              <w:lang w:eastAsia="ro-RO"/>
            </w:rPr>
          </w:pPr>
          <w:hyperlink w:anchor="_Toc78795680" w:history="1">
            <w:r w:rsidRPr="00A87F5B">
              <w:rPr>
                <w:rStyle w:val="Hyperlink"/>
                <w:noProof/>
              </w:rPr>
              <w:t>3.1. Credite financiare pe an</w:t>
            </w:r>
            <w:r>
              <w:rPr>
                <w:noProof/>
                <w:webHidden/>
              </w:rPr>
              <w:tab/>
            </w:r>
            <w:r>
              <w:rPr>
                <w:noProof/>
                <w:webHidden/>
              </w:rPr>
              <w:fldChar w:fldCharType="begin"/>
            </w:r>
            <w:r>
              <w:rPr>
                <w:noProof/>
                <w:webHidden/>
              </w:rPr>
              <w:instrText xml:space="preserve"> PAGEREF _Toc78795680 \h </w:instrText>
            </w:r>
            <w:r>
              <w:rPr>
                <w:noProof/>
                <w:webHidden/>
              </w:rPr>
            </w:r>
            <w:r>
              <w:rPr>
                <w:noProof/>
                <w:webHidden/>
              </w:rPr>
              <w:fldChar w:fldCharType="separate"/>
            </w:r>
            <w:r w:rsidR="00CE5DAF">
              <w:rPr>
                <w:noProof/>
                <w:webHidden/>
              </w:rPr>
              <w:t>3</w:t>
            </w:r>
            <w:r>
              <w:rPr>
                <w:noProof/>
                <w:webHidden/>
              </w:rPr>
              <w:fldChar w:fldCharType="end"/>
            </w:r>
          </w:hyperlink>
        </w:p>
        <w:p w14:paraId="6B206728" w14:textId="53CBA630" w:rsidR="00DC2513" w:rsidRDefault="00DC2513">
          <w:pPr>
            <w:pStyle w:val="TOC2"/>
            <w:tabs>
              <w:tab w:val="right" w:leader="dot" w:pos="9629"/>
            </w:tabs>
            <w:rPr>
              <w:rFonts w:asciiTheme="minorHAnsi" w:eastAsiaTheme="minorEastAsia" w:hAnsiTheme="minorHAnsi" w:cstheme="minorBidi"/>
              <w:noProof/>
              <w:lang w:eastAsia="ro-RO"/>
            </w:rPr>
          </w:pPr>
          <w:hyperlink w:anchor="_Toc78795681" w:history="1">
            <w:r w:rsidRPr="00A87F5B">
              <w:rPr>
                <w:rStyle w:val="Hyperlink"/>
                <w:noProof/>
              </w:rPr>
              <w:t>3.2 Total alocări financiare</w:t>
            </w:r>
            <w:r>
              <w:rPr>
                <w:noProof/>
                <w:webHidden/>
              </w:rPr>
              <w:tab/>
            </w:r>
            <w:r>
              <w:rPr>
                <w:noProof/>
                <w:webHidden/>
              </w:rPr>
              <w:fldChar w:fldCharType="begin"/>
            </w:r>
            <w:r>
              <w:rPr>
                <w:noProof/>
                <w:webHidden/>
              </w:rPr>
              <w:instrText xml:space="preserve"> PAGEREF _Toc78795681 \h </w:instrText>
            </w:r>
            <w:r>
              <w:rPr>
                <w:noProof/>
                <w:webHidden/>
              </w:rPr>
            </w:r>
            <w:r>
              <w:rPr>
                <w:noProof/>
                <w:webHidden/>
              </w:rPr>
              <w:fldChar w:fldCharType="separate"/>
            </w:r>
            <w:r w:rsidR="00CE5DAF">
              <w:rPr>
                <w:noProof/>
                <w:webHidden/>
              </w:rPr>
              <w:t>3</w:t>
            </w:r>
            <w:r>
              <w:rPr>
                <w:noProof/>
                <w:webHidden/>
              </w:rPr>
              <w:fldChar w:fldCharType="end"/>
            </w:r>
          </w:hyperlink>
        </w:p>
        <w:p w14:paraId="5522508F" w14:textId="6C82A749" w:rsidR="00DC2513" w:rsidRDefault="00DC2513">
          <w:pPr>
            <w:pStyle w:val="TOC2"/>
            <w:tabs>
              <w:tab w:val="right" w:leader="dot" w:pos="9629"/>
            </w:tabs>
            <w:rPr>
              <w:rFonts w:asciiTheme="minorHAnsi" w:eastAsiaTheme="minorEastAsia" w:hAnsiTheme="minorHAnsi" w:cstheme="minorBidi"/>
              <w:noProof/>
              <w:lang w:eastAsia="ro-RO"/>
            </w:rPr>
          </w:pPr>
          <w:hyperlink w:anchor="_Toc78795682" w:history="1">
            <w:r w:rsidRPr="00A87F5B">
              <w:rPr>
                <w:rStyle w:val="Hyperlink"/>
                <w:noProof/>
              </w:rPr>
              <w:t>3.3. Transferuri</w:t>
            </w:r>
            <w:r>
              <w:rPr>
                <w:noProof/>
                <w:webHidden/>
              </w:rPr>
              <w:tab/>
            </w:r>
            <w:r>
              <w:rPr>
                <w:noProof/>
                <w:webHidden/>
              </w:rPr>
              <w:fldChar w:fldCharType="begin"/>
            </w:r>
            <w:r>
              <w:rPr>
                <w:noProof/>
                <w:webHidden/>
              </w:rPr>
              <w:instrText xml:space="preserve"> PAGEREF _Toc78795682 \h </w:instrText>
            </w:r>
            <w:r>
              <w:rPr>
                <w:noProof/>
                <w:webHidden/>
              </w:rPr>
            </w:r>
            <w:r>
              <w:rPr>
                <w:noProof/>
                <w:webHidden/>
              </w:rPr>
              <w:fldChar w:fldCharType="separate"/>
            </w:r>
            <w:r w:rsidR="00CE5DAF">
              <w:rPr>
                <w:noProof/>
                <w:webHidden/>
              </w:rPr>
              <w:t>4</w:t>
            </w:r>
            <w:r>
              <w:rPr>
                <w:noProof/>
                <w:webHidden/>
              </w:rPr>
              <w:fldChar w:fldCharType="end"/>
            </w:r>
          </w:hyperlink>
        </w:p>
        <w:p w14:paraId="20794E80" w14:textId="4007A937" w:rsidR="00DC2513" w:rsidRDefault="00DC2513">
          <w:pPr>
            <w:pStyle w:val="TOC1"/>
            <w:tabs>
              <w:tab w:val="right" w:leader="dot" w:pos="9629"/>
            </w:tabs>
            <w:rPr>
              <w:rFonts w:asciiTheme="minorHAnsi" w:eastAsiaTheme="minorEastAsia" w:hAnsiTheme="minorHAnsi" w:cstheme="minorBidi"/>
              <w:noProof/>
              <w:lang w:eastAsia="ro-RO"/>
            </w:rPr>
          </w:pPr>
          <w:hyperlink w:anchor="_Toc78795683" w:history="1">
            <w:r w:rsidRPr="00A87F5B">
              <w:rPr>
                <w:rStyle w:val="Hyperlink"/>
                <w:noProof/>
              </w:rPr>
              <w:t>4. Condiții favorizante</w:t>
            </w:r>
            <w:r>
              <w:rPr>
                <w:noProof/>
                <w:webHidden/>
              </w:rPr>
              <w:tab/>
            </w:r>
            <w:r>
              <w:rPr>
                <w:noProof/>
                <w:webHidden/>
              </w:rPr>
              <w:fldChar w:fldCharType="begin"/>
            </w:r>
            <w:r>
              <w:rPr>
                <w:noProof/>
                <w:webHidden/>
              </w:rPr>
              <w:instrText xml:space="preserve"> PAGEREF _Toc78795683 \h </w:instrText>
            </w:r>
            <w:r>
              <w:rPr>
                <w:noProof/>
                <w:webHidden/>
              </w:rPr>
            </w:r>
            <w:r>
              <w:rPr>
                <w:noProof/>
                <w:webHidden/>
              </w:rPr>
              <w:fldChar w:fldCharType="separate"/>
            </w:r>
            <w:r w:rsidR="00CE5DAF">
              <w:rPr>
                <w:noProof/>
                <w:webHidden/>
              </w:rPr>
              <w:t>6</w:t>
            </w:r>
            <w:r>
              <w:rPr>
                <w:noProof/>
                <w:webHidden/>
              </w:rPr>
              <w:fldChar w:fldCharType="end"/>
            </w:r>
          </w:hyperlink>
        </w:p>
        <w:p w14:paraId="68C54217" w14:textId="1728200D" w:rsidR="00DC2513" w:rsidRDefault="00DC2513">
          <w:pPr>
            <w:pStyle w:val="TOC1"/>
            <w:tabs>
              <w:tab w:val="right" w:leader="dot" w:pos="9629"/>
            </w:tabs>
            <w:rPr>
              <w:rFonts w:asciiTheme="minorHAnsi" w:eastAsiaTheme="minorEastAsia" w:hAnsiTheme="minorHAnsi" w:cstheme="minorBidi"/>
              <w:noProof/>
              <w:lang w:eastAsia="ro-RO"/>
            </w:rPr>
          </w:pPr>
          <w:hyperlink w:anchor="_Toc78795684" w:history="1">
            <w:r w:rsidRPr="00A87F5B">
              <w:rPr>
                <w:rStyle w:val="Hyperlink"/>
                <w:noProof/>
              </w:rPr>
              <w:t>5. Autorități responsabile de program</w:t>
            </w:r>
            <w:r>
              <w:rPr>
                <w:noProof/>
                <w:webHidden/>
              </w:rPr>
              <w:tab/>
            </w:r>
            <w:r>
              <w:rPr>
                <w:noProof/>
                <w:webHidden/>
              </w:rPr>
              <w:fldChar w:fldCharType="begin"/>
            </w:r>
            <w:r>
              <w:rPr>
                <w:noProof/>
                <w:webHidden/>
              </w:rPr>
              <w:instrText xml:space="preserve"> PAGEREF _Toc78795684 \h </w:instrText>
            </w:r>
            <w:r>
              <w:rPr>
                <w:noProof/>
                <w:webHidden/>
              </w:rPr>
            </w:r>
            <w:r>
              <w:rPr>
                <w:noProof/>
                <w:webHidden/>
              </w:rPr>
              <w:fldChar w:fldCharType="separate"/>
            </w:r>
            <w:r w:rsidR="00CE5DAF">
              <w:rPr>
                <w:noProof/>
                <w:webHidden/>
              </w:rPr>
              <w:t>12</w:t>
            </w:r>
            <w:r>
              <w:rPr>
                <w:noProof/>
                <w:webHidden/>
              </w:rPr>
              <w:fldChar w:fldCharType="end"/>
            </w:r>
          </w:hyperlink>
        </w:p>
        <w:p w14:paraId="72855208" w14:textId="4C485763" w:rsidR="00DC2513" w:rsidRDefault="00DC2513">
          <w:pPr>
            <w:pStyle w:val="TOC1"/>
            <w:tabs>
              <w:tab w:val="right" w:leader="dot" w:pos="9629"/>
            </w:tabs>
            <w:rPr>
              <w:rFonts w:asciiTheme="minorHAnsi" w:eastAsiaTheme="minorEastAsia" w:hAnsiTheme="minorHAnsi" w:cstheme="minorBidi"/>
              <w:noProof/>
              <w:lang w:eastAsia="ro-RO"/>
            </w:rPr>
          </w:pPr>
          <w:hyperlink w:anchor="_Toc78795685" w:history="1">
            <w:r w:rsidRPr="00A87F5B">
              <w:rPr>
                <w:rStyle w:val="Hyperlink"/>
                <w:noProof/>
              </w:rPr>
              <w:t>6. Parteneriat</w:t>
            </w:r>
            <w:r>
              <w:rPr>
                <w:noProof/>
                <w:webHidden/>
              </w:rPr>
              <w:tab/>
            </w:r>
            <w:r>
              <w:rPr>
                <w:noProof/>
                <w:webHidden/>
              </w:rPr>
              <w:fldChar w:fldCharType="begin"/>
            </w:r>
            <w:r>
              <w:rPr>
                <w:noProof/>
                <w:webHidden/>
              </w:rPr>
              <w:instrText xml:space="preserve"> PAGEREF _Toc78795685 \h </w:instrText>
            </w:r>
            <w:r>
              <w:rPr>
                <w:noProof/>
                <w:webHidden/>
              </w:rPr>
            </w:r>
            <w:r>
              <w:rPr>
                <w:noProof/>
                <w:webHidden/>
              </w:rPr>
              <w:fldChar w:fldCharType="separate"/>
            </w:r>
            <w:r w:rsidR="00CE5DAF">
              <w:rPr>
                <w:noProof/>
                <w:webHidden/>
              </w:rPr>
              <w:t>12</w:t>
            </w:r>
            <w:r>
              <w:rPr>
                <w:noProof/>
                <w:webHidden/>
              </w:rPr>
              <w:fldChar w:fldCharType="end"/>
            </w:r>
          </w:hyperlink>
        </w:p>
        <w:p w14:paraId="7FA8E966" w14:textId="473E46DE" w:rsidR="00DC2513" w:rsidRDefault="00DC2513">
          <w:pPr>
            <w:pStyle w:val="TOC1"/>
            <w:tabs>
              <w:tab w:val="right" w:leader="dot" w:pos="9629"/>
            </w:tabs>
            <w:rPr>
              <w:rFonts w:asciiTheme="minorHAnsi" w:eastAsiaTheme="minorEastAsia" w:hAnsiTheme="minorHAnsi" w:cstheme="minorBidi"/>
              <w:noProof/>
              <w:lang w:eastAsia="ro-RO"/>
            </w:rPr>
          </w:pPr>
          <w:hyperlink w:anchor="_Toc78795686" w:history="1">
            <w:r w:rsidRPr="00A87F5B">
              <w:rPr>
                <w:rStyle w:val="Hyperlink"/>
                <w:noProof/>
              </w:rPr>
              <w:t>7. Comunicare și vizibilitate</w:t>
            </w:r>
            <w:r>
              <w:rPr>
                <w:noProof/>
                <w:webHidden/>
              </w:rPr>
              <w:tab/>
            </w:r>
            <w:r>
              <w:rPr>
                <w:noProof/>
                <w:webHidden/>
              </w:rPr>
              <w:fldChar w:fldCharType="begin"/>
            </w:r>
            <w:r>
              <w:rPr>
                <w:noProof/>
                <w:webHidden/>
              </w:rPr>
              <w:instrText xml:space="preserve"> PAGEREF _Toc78795686 \h </w:instrText>
            </w:r>
            <w:r>
              <w:rPr>
                <w:noProof/>
                <w:webHidden/>
              </w:rPr>
            </w:r>
            <w:r>
              <w:rPr>
                <w:noProof/>
                <w:webHidden/>
              </w:rPr>
              <w:fldChar w:fldCharType="separate"/>
            </w:r>
            <w:r w:rsidR="00CE5DAF">
              <w:rPr>
                <w:noProof/>
                <w:webHidden/>
              </w:rPr>
              <w:t>13</w:t>
            </w:r>
            <w:r>
              <w:rPr>
                <w:noProof/>
                <w:webHidden/>
              </w:rPr>
              <w:fldChar w:fldCharType="end"/>
            </w:r>
          </w:hyperlink>
        </w:p>
        <w:p w14:paraId="0E0EEEDC" w14:textId="78BED3DF" w:rsidR="00DC2513" w:rsidRDefault="00DC2513">
          <w:pPr>
            <w:pStyle w:val="TOC1"/>
            <w:tabs>
              <w:tab w:val="right" w:leader="dot" w:pos="9629"/>
            </w:tabs>
            <w:rPr>
              <w:rFonts w:asciiTheme="minorHAnsi" w:eastAsiaTheme="minorEastAsia" w:hAnsiTheme="minorHAnsi" w:cstheme="minorBidi"/>
              <w:noProof/>
              <w:lang w:eastAsia="ro-RO"/>
            </w:rPr>
          </w:pPr>
          <w:hyperlink w:anchor="_Toc78795687" w:history="1">
            <w:r w:rsidRPr="00A87F5B">
              <w:rPr>
                <w:rStyle w:val="Hyperlink"/>
                <w:noProof/>
              </w:rPr>
              <w:t>8. Utilizarea costurilor unitare, a sumelor forfetare, a ratelor forfetare și a finanțărilor nelegate de costuri</w:t>
            </w:r>
            <w:r>
              <w:rPr>
                <w:noProof/>
                <w:webHidden/>
              </w:rPr>
              <w:tab/>
            </w:r>
            <w:r>
              <w:rPr>
                <w:noProof/>
                <w:webHidden/>
              </w:rPr>
              <w:fldChar w:fldCharType="begin"/>
            </w:r>
            <w:r>
              <w:rPr>
                <w:noProof/>
                <w:webHidden/>
              </w:rPr>
              <w:instrText xml:space="preserve"> PAGEREF _Toc78795687 \h </w:instrText>
            </w:r>
            <w:r>
              <w:rPr>
                <w:noProof/>
                <w:webHidden/>
              </w:rPr>
            </w:r>
            <w:r>
              <w:rPr>
                <w:noProof/>
                <w:webHidden/>
              </w:rPr>
              <w:fldChar w:fldCharType="separate"/>
            </w:r>
            <w:r w:rsidR="00CE5DAF">
              <w:rPr>
                <w:noProof/>
                <w:webHidden/>
              </w:rPr>
              <w:t>16</w:t>
            </w:r>
            <w:r>
              <w:rPr>
                <w:noProof/>
                <w:webHidden/>
              </w:rPr>
              <w:fldChar w:fldCharType="end"/>
            </w:r>
          </w:hyperlink>
        </w:p>
        <w:p w14:paraId="6DEE2AB0" w14:textId="77D1035E" w:rsidR="00DC2513" w:rsidRDefault="00DC2513">
          <w:pPr>
            <w:pStyle w:val="TOC2"/>
            <w:tabs>
              <w:tab w:val="right" w:leader="dot" w:pos="9629"/>
            </w:tabs>
            <w:rPr>
              <w:rFonts w:asciiTheme="minorHAnsi" w:eastAsiaTheme="minorEastAsia" w:hAnsiTheme="minorHAnsi" w:cstheme="minorBidi"/>
              <w:noProof/>
              <w:lang w:eastAsia="ro-RO"/>
            </w:rPr>
          </w:pPr>
          <w:hyperlink w:anchor="_Toc78795688" w:history="1">
            <w:r w:rsidRPr="00A87F5B">
              <w:rPr>
                <w:rStyle w:val="Hyperlink"/>
                <w:noProof/>
              </w:rPr>
              <w:t>Apendicele 1 - Contribuția Uniunii bazată pe costuri unitare, sume forfetare și rate forfetare</w:t>
            </w:r>
            <w:r>
              <w:rPr>
                <w:noProof/>
                <w:webHidden/>
              </w:rPr>
              <w:tab/>
            </w:r>
            <w:r>
              <w:rPr>
                <w:noProof/>
                <w:webHidden/>
              </w:rPr>
              <w:fldChar w:fldCharType="begin"/>
            </w:r>
            <w:r>
              <w:rPr>
                <w:noProof/>
                <w:webHidden/>
              </w:rPr>
              <w:instrText xml:space="preserve"> PAGEREF _Toc78795688 \h </w:instrText>
            </w:r>
            <w:r>
              <w:rPr>
                <w:noProof/>
                <w:webHidden/>
              </w:rPr>
            </w:r>
            <w:r>
              <w:rPr>
                <w:noProof/>
                <w:webHidden/>
              </w:rPr>
              <w:fldChar w:fldCharType="separate"/>
            </w:r>
            <w:r w:rsidR="00CE5DAF">
              <w:rPr>
                <w:noProof/>
                <w:webHidden/>
              </w:rPr>
              <w:t>16</w:t>
            </w:r>
            <w:r>
              <w:rPr>
                <w:noProof/>
                <w:webHidden/>
              </w:rPr>
              <w:fldChar w:fldCharType="end"/>
            </w:r>
          </w:hyperlink>
        </w:p>
        <w:p w14:paraId="64E887B0" w14:textId="17261747" w:rsidR="00DC2513" w:rsidRDefault="00DC2513">
          <w:pPr>
            <w:pStyle w:val="TOC3"/>
            <w:tabs>
              <w:tab w:val="left" w:pos="880"/>
              <w:tab w:val="right" w:leader="dot" w:pos="9629"/>
            </w:tabs>
            <w:rPr>
              <w:rFonts w:asciiTheme="minorHAnsi" w:eastAsiaTheme="minorEastAsia" w:hAnsiTheme="minorHAnsi" w:cstheme="minorBidi"/>
              <w:noProof/>
              <w:lang w:eastAsia="ro-RO"/>
            </w:rPr>
          </w:pPr>
          <w:hyperlink w:anchor="_Toc78795689" w:history="1">
            <w:r w:rsidRPr="00A87F5B">
              <w:rPr>
                <w:rStyle w:val="Hyperlink"/>
                <w:rFonts w:asciiTheme="majorHAnsi" w:hAnsiTheme="majorHAnsi" w:cstheme="majorHAnsi"/>
                <w:noProof/>
              </w:rPr>
              <w:t>A.</w:t>
            </w:r>
            <w:r>
              <w:rPr>
                <w:rFonts w:asciiTheme="minorHAnsi" w:eastAsiaTheme="minorEastAsia" w:hAnsiTheme="minorHAnsi" w:cstheme="minorBidi"/>
                <w:noProof/>
                <w:lang w:eastAsia="ro-RO"/>
              </w:rPr>
              <w:tab/>
            </w:r>
            <w:r w:rsidRPr="00A87F5B">
              <w:rPr>
                <w:rStyle w:val="Hyperlink"/>
                <w:rFonts w:asciiTheme="majorHAnsi" w:hAnsiTheme="majorHAnsi" w:cstheme="majorHAnsi"/>
                <w:noProof/>
              </w:rPr>
              <w:t>Rezumatul principalelor elemente</w:t>
            </w:r>
            <w:r>
              <w:rPr>
                <w:noProof/>
                <w:webHidden/>
              </w:rPr>
              <w:tab/>
            </w:r>
            <w:r>
              <w:rPr>
                <w:noProof/>
                <w:webHidden/>
              </w:rPr>
              <w:fldChar w:fldCharType="begin"/>
            </w:r>
            <w:r>
              <w:rPr>
                <w:noProof/>
                <w:webHidden/>
              </w:rPr>
              <w:instrText xml:space="preserve"> PAGEREF _Toc78795689 \h </w:instrText>
            </w:r>
            <w:r>
              <w:rPr>
                <w:noProof/>
                <w:webHidden/>
              </w:rPr>
            </w:r>
            <w:r>
              <w:rPr>
                <w:noProof/>
                <w:webHidden/>
              </w:rPr>
              <w:fldChar w:fldCharType="separate"/>
            </w:r>
            <w:r w:rsidR="00CE5DAF">
              <w:rPr>
                <w:noProof/>
                <w:webHidden/>
              </w:rPr>
              <w:t>16</w:t>
            </w:r>
            <w:r>
              <w:rPr>
                <w:noProof/>
                <w:webHidden/>
              </w:rPr>
              <w:fldChar w:fldCharType="end"/>
            </w:r>
          </w:hyperlink>
        </w:p>
        <w:p w14:paraId="47AA5E8D" w14:textId="5F86E56B" w:rsidR="00DC2513" w:rsidRDefault="00DC2513">
          <w:pPr>
            <w:pStyle w:val="TOC3"/>
            <w:tabs>
              <w:tab w:val="right" w:leader="dot" w:pos="9629"/>
            </w:tabs>
            <w:rPr>
              <w:rFonts w:asciiTheme="minorHAnsi" w:eastAsiaTheme="minorEastAsia" w:hAnsiTheme="minorHAnsi" w:cstheme="minorBidi"/>
              <w:noProof/>
              <w:lang w:eastAsia="ro-RO"/>
            </w:rPr>
          </w:pPr>
          <w:hyperlink w:anchor="_Toc78795690" w:history="1">
            <w:r w:rsidRPr="00A87F5B">
              <w:rPr>
                <w:rStyle w:val="Hyperlink"/>
                <w:rFonts w:asciiTheme="majorHAnsi" w:eastAsia="Arial" w:hAnsiTheme="majorHAnsi" w:cstheme="majorHAnsi"/>
                <w:noProof/>
              </w:rPr>
              <w:t>B. Detalii pe tip de operațiune (a se completa pentru fiecare tip de operațiune)</w:t>
            </w:r>
            <w:r>
              <w:rPr>
                <w:noProof/>
                <w:webHidden/>
              </w:rPr>
              <w:tab/>
            </w:r>
            <w:r>
              <w:rPr>
                <w:noProof/>
                <w:webHidden/>
              </w:rPr>
              <w:fldChar w:fldCharType="begin"/>
            </w:r>
            <w:r>
              <w:rPr>
                <w:noProof/>
                <w:webHidden/>
              </w:rPr>
              <w:instrText xml:space="preserve"> PAGEREF _Toc78795690 \h </w:instrText>
            </w:r>
            <w:r>
              <w:rPr>
                <w:noProof/>
                <w:webHidden/>
              </w:rPr>
            </w:r>
            <w:r>
              <w:rPr>
                <w:noProof/>
                <w:webHidden/>
              </w:rPr>
              <w:fldChar w:fldCharType="separate"/>
            </w:r>
            <w:r w:rsidR="00CE5DAF">
              <w:rPr>
                <w:noProof/>
                <w:webHidden/>
              </w:rPr>
              <w:t>18</w:t>
            </w:r>
            <w:r>
              <w:rPr>
                <w:noProof/>
                <w:webHidden/>
              </w:rPr>
              <w:fldChar w:fldCharType="end"/>
            </w:r>
          </w:hyperlink>
        </w:p>
        <w:p w14:paraId="6DFA2B79" w14:textId="30BCE3D6" w:rsidR="00DC2513" w:rsidRDefault="00DC2513">
          <w:pPr>
            <w:pStyle w:val="TOC3"/>
            <w:tabs>
              <w:tab w:val="right" w:leader="dot" w:pos="9629"/>
            </w:tabs>
            <w:rPr>
              <w:rFonts w:asciiTheme="minorHAnsi" w:eastAsiaTheme="minorEastAsia" w:hAnsiTheme="minorHAnsi" w:cstheme="minorBidi"/>
              <w:noProof/>
              <w:lang w:eastAsia="ro-RO"/>
            </w:rPr>
          </w:pPr>
          <w:hyperlink w:anchor="_Toc78795691" w:history="1">
            <w:r w:rsidRPr="00A87F5B">
              <w:rPr>
                <w:rStyle w:val="Hyperlink"/>
                <w:rFonts w:asciiTheme="majorHAnsi" w:hAnsiTheme="majorHAnsi" w:cstheme="majorHAnsi"/>
                <w:noProof/>
              </w:rPr>
              <w:t>C: Calculul baremului standard pentru costurile unitare, sumele forfetare sau ratele forfetare</w:t>
            </w:r>
            <w:r>
              <w:rPr>
                <w:noProof/>
                <w:webHidden/>
              </w:rPr>
              <w:tab/>
            </w:r>
            <w:r>
              <w:rPr>
                <w:noProof/>
                <w:webHidden/>
              </w:rPr>
              <w:fldChar w:fldCharType="begin"/>
            </w:r>
            <w:r>
              <w:rPr>
                <w:noProof/>
                <w:webHidden/>
              </w:rPr>
              <w:instrText xml:space="preserve"> PAGEREF _Toc78795691 \h </w:instrText>
            </w:r>
            <w:r>
              <w:rPr>
                <w:noProof/>
                <w:webHidden/>
              </w:rPr>
            </w:r>
            <w:r>
              <w:rPr>
                <w:noProof/>
                <w:webHidden/>
              </w:rPr>
              <w:fldChar w:fldCharType="separate"/>
            </w:r>
            <w:r w:rsidR="00CE5DAF">
              <w:rPr>
                <w:noProof/>
                <w:webHidden/>
              </w:rPr>
              <w:t>19</w:t>
            </w:r>
            <w:r>
              <w:rPr>
                <w:noProof/>
                <w:webHidden/>
              </w:rPr>
              <w:fldChar w:fldCharType="end"/>
            </w:r>
          </w:hyperlink>
        </w:p>
        <w:p w14:paraId="56C1B264" w14:textId="3162C282" w:rsidR="006C49D1" w:rsidRPr="000D1EF3" w:rsidRDefault="006C49D1">
          <w:r w:rsidRPr="000D1EF3">
            <w:rPr>
              <w:b/>
              <w:bCs/>
            </w:rPr>
            <w:fldChar w:fldCharType="end"/>
          </w:r>
        </w:p>
      </w:sdtContent>
    </w:sdt>
    <w:p w14:paraId="00000024" w14:textId="77777777" w:rsidR="00C62A9B" w:rsidRPr="000D1EF3" w:rsidRDefault="00C62A9B">
      <w:pPr>
        <w:rPr>
          <w:rFonts w:asciiTheme="majorHAnsi" w:hAnsiTheme="majorHAnsi" w:cstheme="majorHAnsi"/>
          <w:sz w:val="24"/>
          <w:szCs w:val="24"/>
          <w:u w:val="single"/>
        </w:rPr>
      </w:pPr>
    </w:p>
    <w:p w14:paraId="00000025" w14:textId="77777777" w:rsidR="00C62A9B" w:rsidRPr="000D1EF3" w:rsidRDefault="00C62A9B">
      <w:pPr>
        <w:tabs>
          <w:tab w:val="center" w:pos="850"/>
          <w:tab w:val="right" w:pos="10998"/>
        </w:tabs>
        <w:spacing w:after="120" w:line="240" w:lineRule="auto"/>
        <w:rPr>
          <w:rFonts w:asciiTheme="majorHAnsi" w:hAnsiTheme="majorHAnsi" w:cstheme="majorHAnsi"/>
          <w:sz w:val="24"/>
          <w:szCs w:val="24"/>
          <w:u w:val="single"/>
        </w:rPr>
      </w:pPr>
    </w:p>
    <w:p w14:paraId="00000026"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7"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8"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9"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A"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B"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C"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0000002D" w14:textId="7BE206DB" w:rsidR="00E43440" w:rsidRDefault="00E43440">
      <w:pPr>
        <w:rPr>
          <w:rFonts w:asciiTheme="majorHAnsi" w:hAnsiTheme="majorHAnsi" w:cstheme="majorHAnsi"/>
          <w:sz w:val="24"/>
          <w:szCs w:val="24"/>
          <w:u w:val="single"/>
        </w:rPr>
      </w:pPr>
      <w:r>
        <w:rPr>
          <w:rFonts w:asciiTheme="majorHAnsi" w:hAnsiTheme="majorHAnsi" w:cstheme="majorHAnsi"/>
          <w:sz w:val="24"/>
          <w:szCs w:val="24"/>
          <w:u w:val="single"/>
        </w:rPr>
        <w:br w:type="page"/>
      </w:r>
    </w:p>
    <w:p w14:paraId="0000002E" w14:textId="77777777" w:rsidR="00C62A9B" w:rsidRPr="000D1EF3" w:rsidRDefault="00C62A9B">
      <w:pPr>
        <w:tabs>
          <w:tab w:val="center" w:pos="850"/>
          <w:tab w:val="right" w:pos="10998"/>
        </w:tabs>
        <w:spacing w:after="120" w:line="240" w:lineRule="auto"/>
        <w:jc w:val="right"/>
        <w:rPr>
          <w:rFonts w:asciiTheme="majorHAnsi" w:hAnsiTheme="majorHAnsi" w:cstheme="majorHAnsi"/>
          <w:sz w:val="24"/>
          <w:szCs w:val="24"/>
          <w:u w:val="single"/>
        </w:rPr>
      </w:pPr>
    </w:p>
    <w:p w14:paraId="5D5A38E5" w14:textId="77777777" w:rsidR="00812FFF" w:rsidRPr="000D1EF3" w:rsidRDefault="00812FFF" w:rsidP="00812FFF">
      <w:pPr>
        <w:spacing w:after="0" w:line="240" w:lineRule="auto"/>
        <w:rPr>
          <w:sz w:val="24"/>
          <w:szCs w:val="24"/>
        </w:rPr>
      </w:pPr>
    </w:p>
    <w:tbl>
      <w:tblPr>
        <w:tblW w:w="5000" w:type="pct"/>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3818"/>
        <w:gridCol w:w="5801"/>
      </w:tblGrid>
      <w:tr w:rsidR="00812FFF" w:rsidRPr="000D1EF3" w14:paraId="57020A6F" w14:textId="77777777" w:rsidTr="00980718">
        <w:tc>
          <w:tcPr>
            <w:tcW w:w="3818" w:type="dxa"/>
            <w:tcBorders>
              <w:top w:val="single" w:sz="8" w:space="0" w:color="000000"/>
              <w:left w:val="single" w:sz="8" w:space="0" w:color="000000"/>
              <w:bottom w:val="single" w:sz="8" w:space="0" w:color="000000"/>
              <w:right w:val="single" w:sz="8" w:space="0" w:color="000000"/>
            </w:tcBorders>
            <w:tcMar>
              <w:top w:w="80" w:type="dxa"/>
              <w:left w:w="80" w:type="dxa"/>
              <w:bottom w:w="100" w:type="dxa"/>
              <w:right w:w="40" w:type="dxa"/>
            </w:tcMar>
          </w:tcPr>
          <w:p w14:paraId="69459CE1"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Nr. CCI</w:t>
            </w:r>
          </w:p>
        </w:tc>
        <w:tc>
          <w:tcPr>
            <w:tcW w:w="5800" w:type="dxa"/>
            <w:tcBorders>
              <w:top w:val="single" w:sz="8" w:space="0" w:color="000000"/>
              <w:left w:val="nil"/>
              <w:bottom w:val="single" w:sz="8" w:space="0" w:color="000000"/>
              <w:right w:val="single" w:sz="8" w:space="0" w:color="000000"/>
            </w:tcBorders>
            <w:tcMar>
              <w:top w:w="80" w:type="dxa"/>
              <w:left w:w="80" w:type="dxa"/>
              <w:bottom w:w="100" w:type="dxa"/>
              <w:right w:w="40" w:type="dxa"/>
            </w:tcMar>
          </w:tcPr>
          <w:p w14:paraId="2EA04EF6" w14:textId="77777777" w:rsidR="00812FFF" w:rsidRPr="000D1EF3" w:rsidRDefault="00812FFF" w:rsidP="00980718">
            <w:pPr>
              <w:spacing w:after="0" w:line="240" w:lineRule="auto"/>
              <w:ind w:left="440"/>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812FFF" w:rsidRPr="000D1EF3" w14:paraId="08304E23" w14:textId="77777777" w:rsidTr="00980718">
        <w:trPr>
          <w:trHeight w:val="132"/>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45720B7"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Titlu în limba engleză</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1D8EBE89" w14:textId="0C44454A" w:rsidR="00812FFF" w:rsidRPr="000D1EF3" w:rsidRDefault="00812FFF" w:rsidP="00980718">
            <w:pPr>
              <w:spacing w:after="0" w:line="240" w:lineRule="auto"/>
              <w:rPr>
                <w:rFonts w:asciiTheme="majorHAnsi" w:eastAsia="Times New Roman" w:hAnsiTheme="majorHAnsi" w:cstheme="majorHAnsi"/>
                <w:b/>
                <w:sz w:val="24"/>
                <w:szCs w:val="24"/>
                <w:vertAlign w:val="superscript"/>
              </w:rPr>
            </w:pPr>
            <w:r w:rsidRPr="000D1EF3">
              <w:rPr>
                <w:rFonts w:asciiTheme="majorHAnsi" w:hAnsiTheme="majorHAnsi" w:cstheme="majorHAnsi"/>
                <w:sz w:val="24"/>
                <w:szCs w:val="24"/>
              </w:rPr>
              <w:t>NATIONAL PROGRAMME INSTRUMENT FOR BORDER MANAGEMENT AND VISA POLICY [255]*1</w:t>
            </w:r>
          </w:p>
        </w:tc>
      </w:tr>
      <w:tr w:rsidR="00812FFF" w:rsidRPr="000D1EF3" w14:paraId="244A9CB5" w14:textId="77777777" w:rsidTr="00980718">
        <w:trPr>
          <w:trHeight w:val="96"/>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40324951" w14:textId="2750AE20"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Titlu în limba națională</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64336F88" w14:textId="4F7B19E9" w:rsidR="00812FFF" w:rsidRPr="000D1EF3" w:rsidRDefault="00812FFF" w:rsidP="00980718">
            <w:pPr>
              <w:spacing w:after="0" w:line="240" w:lineRule="auto"/>
              <w:rPr>
                <w:rFonts w:asciiTheme="majorHAnsi" w:eastAsia="Times New Roman" w:hAnsiTheme="majorHAnsi" w:cstheme="majorHAnsi"/>
                <w:sz w:val="24"/>
                <w:szCs w:val="24"/>
              </w:rPr>
            </w:pPr>
            <w:r w:rsidRPr="000D1EF3">
              <w:rPr>
                <w:rFonts w:asciiTheme="majorHAnsi" w:hAnsiTheme="majorHAnsi" w:cstheme="majorHAnsi"/>
                <w:sz w:val="24"/>
                <w:szCs w:val="24"/>
              </w:rPr>
              <w:t>PROGRAMUL NAȚIONAL INSTRUMENTUL PENTRU MANAGEMENTUL FRONTIERELOR ȘI POLITICA DE VIZE</w:t>
            </w:r>
          </w:p>
        </w:tc>
      </w:tr>
      <w:tr w:rsidR="00812FFF" w:rsidRPr="000D1EF3" w14:paraId="7938B1F6" w14:textId="77777777" w:rsidTr="00980718">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5D6A9F99"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Versiune</w:t>
            </w:r>
          </w:p>
        </w:tc>
        <w:tc>
          <w:tcPr>
            <w:tcW w:w="5800" w:type="dxa"/>
            <w:tcBorders>
              <w:top w:val="single" w:sz="4" w:space="0" w:color="000000"/>
              <w:left w:val="single" w:sz="4" w:space="0" w:color="000000"/>
              <w:bottom w:val="single" w:sz="4" w:space="0" w:color="000000"/>
              <w:right w:val="single" w:sz="4" w:space="0" w:color="000000"/>
            </w:tcBorders>
            <w:vAlign w:val="center"/>
          </w:tcPr>
          <w:p w14:paraId="5E79943C" w14:textId="77777777" w:rsidR="00812FFF" w:rsidRPr="000D1EF3" w:rsidRDefault="00812FFF" w:rsidP="00980718">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DRAFT 2</w:t>
            </w:r>
          </w:p>
        </w:tc>
      </w:tr>
      <w:tr w:rsidR="00812FFF" w:rsidRPr="000D1EF3" w14:paraId="300DFA36" w14:textId="77777777" w:rsidTr="00980718">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F10275A"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Primul an</w:t>
            </w:r>
          </w:p>
        </w:tc>
        <w:tc>
          <w:tcPr>
            <w:tcW w:w="5800" w:type="dxa"/>
            <w:tcBorders>
              <w:top w:val="single" w:sz="4" w:space="0" w:color="000000"/>
              <w:left w:val="single" w:sz="4" w:space="0" w:color="000000"/>
              <w:bottom w:val="single" w:sz="4" w:space="0" w:color="000000"/>
              <w:right w:val="single" w:sz="4" w:space="0" w:color="000000"/>
            </w:tcBorders>
            <w:vAlign w:val="center"/>
          </w:tcPr>
          <w:p w14:paraId="79C25A45" w14:textId="77777777" w:rsidR="00812FFF" w:rsidRPr="000D1EF3" w:rsidRDefault="00812FFF" w:rsidP="00980718">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2021</w:t>
            </w:r>
          </w:p>
        </w:tc>
      </w:tr>
      <w:tr w:rsidR="00812FFF" w:rsidRPr="000D1EF3" w14:paraId="63322CF9" w14:textId="77777777" w:rsidTr="00980718">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2344A7E2"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Ultimul an</w:t>
            </w:r>
          </w:p>
        </w:tc>
        <w:tc>
          <w:tcPr>
            <w:tcW w:w="5800" w:type="dxa"/>
            <w:tcBorders>
              <w:top w:val="single" w:sz="4" w:space="0" w:color="000000"/>
              <w:left w:val="single" w:sz="4" w:space="0" w:color="000000"/>
              <w:bottom w:val="single" w:sz="4" w:space="0" w:color="000000"/>
              <w:right w:val="single" w:sz="4" w:space="0" w:color="000000"/>
            </w:tcBorders>
            <w:vAlign w:val="center"/>
          </w:tcPr>
          <w:p w14:paraId="1BE960C5" w14:textId="77777777" w:rsidR="00812FFF" w:rsidRPr="000D1EF3" w:rsidRDefault="00812FFF" w:rsidP="00980718">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2027</w:t>
            </w:r>
          </w:p>
        </w:tc>
      </w:tr>
      <w:tr w:rsidR="00812FFF" w:rsidRPr="000D1EF3" w14:paraId="7F14A6BF" w14:textId="77777777" w:rsidTr="00980718">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16F42A45"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Eligibil de la</w:t>
            </w:r>
          </w:p>
        </w:tc>
        <w:tc>
          <w:tcPr>
            <w:tcW w:w="5800" w:type="dxa"/>
            <w:tcBorders>
              <w:top w:val="single" w:sz="4" w:space="0" w:color="000000"/>
              <w:left w:val="single" w:sz="4" w:space="0" w:color="000000"/>
              <w:bottom w:val="single" w:sz="4" w:space="0" w:color="000000"/>
              <w:right w:val="single" w:sz="4" w:space="0" w:color="000000"/>
            </w:tcBorders>
            <w:vAlign w:val="center"/>
          </w:tcPr>
          <w:p w14:paraId="30065C6E" w14:textId="77777777" w:rsidR="00812FFF" w:rsidRPr="000D1EF3" w:rsidRDefault="00812FFF" w:rsidP="00980718">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1 IANUARIE 2021</w:t>
            </w:r>
          </w:p>
        </w:tc>
      </w:tr>
      <w:tr w:rsidR="00812FFF" w:rsidRPr="000D1EF3" w14:paraId="3A59F347" w14:textId="77777777" w:rsidTr="00980718">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564DF5D5"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Eligibil până la</w:t>
            </w:r>
          </w:p>
        </w:tc>
        <w:tc>
          <w:tcPr>
            <w:tcW w:w="5800" w:type="dxa"/>
            <w:tcBorders>
              <w:top w:val="single" w:sz="4" w:space="0" w:color="000000"/>
              <w:left w:val="single" w:sz="4" w:space="0" w:color="000000"/>
              <w:bottom w:val="single" w:sz="4" w:space="0" w:color="000000"/>
              <w:right w:val="single" w:sz="4" w:space="0" w:color="000000"/>
            </w:tcBorders>
            <w:vAlign w:val="center"/>
          </w:tcPr>
          <w:p w14:paraId="07DCBD61" w14:textId="77777777" w:rsidR="00812FFF" w:rsidRPr="000D1EF3" w:rsidRDefault="00812FFF" w:rsidP="00980718">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31 DECEMBRIE 2029</w:t>
            </w:r>
          </w:p>
        </w:tc>
      </w:tr>
      <w:tr w:rsidR="00812FFF" w:rsidRPr="000D1EF3" w14:paraId="742F64DF" w14:textId="77777777" w:rsidTr="00980718">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27D6B7BF"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Numărul deciziei Comisiei</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7353E2C4" w14:textId="77777777" w:rsidR="00812FFF" w:rsidRPr="000D1EF3" w:rsidRDefault="00812FFF" w:rsidP="00980718">
            <w:pPr>
              <w:spacing w:after="0" w:line="240" w:lineRule="auto"/>
              <w:ind w:left="440"/>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812FFF" w:rsidRPr="000D1EF3" w14:paraId="09474CD7" w14:textId="77777777" w:rsidTr="00980718">
        <w:trPr>
          <w:trHeight w:val="36"/>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593DBFF6"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Data deciziei Comisiei</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30FA316F" w14:textId="77777777" w:rsidR="00812FFF" w:rsidRPr="000D1EF3" w:rsidRDefault="00812FFF" w:rsidP="00980718">
            <w:pPr>
              <w:spacing w:after="0" w:line="240" w:lineRule="auto"/>
              <w:rPr>
                <w:rFonts w:asciiTheme="majorHAnsi" w:hAnsiTheme="majorHAnsi" w:cstheme="majorHAnsi"/>
                <w:sz w:val="24"/>
                <w:szCs w:val="24"/>
              </w:rPr>
            </w:pPr>
          </w:p>
        </w:tc>
      </w:tr>
      <w:tr w:rsidR="00812FFF" w:rsidRPr="000D1EF3" w14:paraId="1CF3D35C" w14:textId="77777777" w:rsidTr="00980718">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0F5B7B99"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Numărul deciziei de modificare a statului membru</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43A1457E" w14:textId="77777777" w:rsidR="00812FFF" w:rsidRPr="000D1EF3" w:rsidRDefault="00812FFF" w:rsidP="00980718">
            <w:pPr>
              <w:spacing w:after="0" w:line="240" w:lineRule="auto"/>
              <w:ind w:left="440"/>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812FFF" w:rsidRPr="000D1EF3" w14:paraId="090614EB" w14:textId="77777777" w:rsidTr="00980718">
        <w:trPr>
          <w:trHeight w:val="15"/>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51002911" w14:textId="77777777" w:rsidR="00812FFF" w:rsidRPr="000D1EF3" w:rsidRDefault="00812FFF" w:rsidP="00812FFF">
            <w:pPr>
              <w:spacing w:after="0" w:line="240" w:lineRule="auto"/>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 xml:space="preserve">Data intrării în vigoare a deciziei de modificare a statului membru </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0E34574E" w14:textId="77777777" w:rsidR="00812FFF" w:rsidRPr="000D1EF3" w:rsidRDefault="00812FFF" w:rsidP="00980718">
            <w:pPr>
              <w:spacing w:after="0" w:line="240" w:lineRule="auto"/>
              <w:ind w:left="440"/>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812FFF" w:rsidRPr="000D1EF3" w14:paraId="44BE217B" w14:textId="77777777" w:rsidTr="00980718">
        <w:trPr>
          <w:trHeight w:val="434"/>
        </w:trPr>
        <w:tc>
          <w:tcPr>
            <w:tcW w:w="3818" w:type="dxa"/>
            <w:tcBorders>
              <w:top w:val="nil"/>
              <w:left w:val="single" w:sz="8" w:space="0" w:color="000000"/>
              <w:bottom w:val="single" w:sz="8" w:space="0" w:color="000000"/>
              <w:right w:val="single" w:sz="8" w:space="0" w:color="000000"/>
            </w:tcBorders>
            <w:tcMar>
              <w:top w:w="80" w:type="dxa"/>
              <w:left w:w="80" w:type="dxa"/>
              <w:bottom w:w="100" w:type="dxa"/>
              <w:right w:w="40" w:type="dxa"/>
            </w:tcMar>
          </w:tcPr>
          <w:p w14:paraId="495D3D15" w14:textId="0481C6A4" w:rsidR="00812FFF" w:rsidRPr="000D1EF3" w:rsidRDefault="00812FFF" w:rsidP="00812FFF">
            <w:pPr>
              <w:spacing w:after="0" w:line="240" w:lineRule="auto"/>
              <w:ind w:right="300"/>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 xml:space="preserve">Transfer nesubstanțial </w:t>
            </w:r>
            <w:r w:rsidRPr="000D1EF3">
              <w:rPr>
                <w:rFonts w:asciiTheme="majorHAnsi" w:eastAsia="Times New Roman" w:hAnsiTheme="majorHAnsi" w:cstheme="majorHAnsi"/>
                <w:sz w:val="20"/>
                <w:szCs w:val="20"/>
              </w:rPr>
              <w:t>[articolul 24 alineatul (5) din RDC]</w:t>
            </w:r>
          </w:p>
        </w:tc>
        <w:tc>
          <w:tcPr>
            <w:tcW w:w="5800" w:type="dxa"/>
            <w:tcBorders>
              <w:top w:val="nil"/>
              <w:left w:val="nil"/>
              <w:bottom w:val="single" w:sz="8" w:space="0" w:color="000000"/>
              <w:right w:val="single" w:sz="8" w:space="0" w:color="000000"/>
            </w:tcBorders>
            <w:tcMar>
              <w:top w:w="80" w:type="dxa"/>
              <w:left w:w="80" w:type="dxa"/>
              <w:bottom w:w="100" w:type="dxa"/>
              <w:right w:w="40" w:type="dxa"/>
            </w:tcMar>
          </w:tcPr>
          <w:p w14:paraId="18FD33EF" w14:textId="77777777" w:rsidR="00812FFF" w:rsidRPr="000D1EF3" w:rsidRDefault="00812FFF" w:rsidP="00980718">
            <w:pPr>
              <w:spacing w:after="0" w:line="240" w:lineRule="auto"/>
              <w:ind w:left="440"/>
              <w:rPr>
                <w:rFonts w:asciiTheme="majorHAnsi" w:eastAsia="Times New Roman" w:hAnsiTheme="majorHAnsi" w:cstheme="majorHAnsi"/>
                <w:sz w:val="24"/>
                <w:szCs w:val="24"/>
              </w:rPr>
            </w:pPr>
            <w:r w:rsidRPr="000D1EF3">
              <w:rPr>
                <w:rFonts w:asciiTheme="majorHAnsi" w:eastAsia="Times New Roman" w:hAnsiTheme="majorHAnsi" w:cstheme="majorHAnsi"/>
                <w:sz w:val="24"/>
                <w:szCs w:val="24"/>
              </w:rPr>
              <w:t>Da/Nu</w:t>
            </w:r>
          </w:p>
        </w:tc>
      </w:tr>
    </w:tbl>
    <w:p w14:paraId="4D17345D" w14:textId="77777777" w:rsidR="00812FFF" w:rsidRPr="000D1EF3" w:rsidRDefault="00F810EF" w:rsidP="00812FFF">
      <w:pPr>
        <w:spacing w:after="0" w:line="240" w:lineRule="auto"/>
        <w:rPr>
          <w:sz w:val="24"/>
          <w:szCs w:val="24"/>
        </w:rPr>
      </w:pPr>
      <w:bookmarkStart w:id="3" w:name="_heading=h.mtqnl3o6i4fn" w:colFirst="0" w:colLast="0"/>
      <w:bookmarkStart w:id="4" w:name="_Hlk78792638"/>
      <w:bookmarkEnd w:id="3"/>
      <w:r>
        <w:pict w14:anchorId="30CA5637">
          <v:rect id="_x0000_i1025" style="width:0;height:1.5pt" o:hralign="center" o:hrstd="t" o:hr="t" fillcolor="#a0a0a0" stroked="f"/>
        </w:pict>
      </w:r>
    </w:p>
    <w:p w14:paraId="0E40B4F8" w14:textId="15F66C13" w:rsidR="00812FFF" w:rsidRPr="000D1EF3" w:rsidRDefault="00812FFF" w:rsidP="00812FFF">
      <w:pPr>
        <w:spacing w:after="0" w:line="240" w:lineRule="auto"/>
        <w:rPr>
          <w:sz w:val="20"/>
          <w:szCs w:val="20"/>
        </w:rPr>
      </w:pPr>
      <w:r w:rsidRPr="000D1EF3">
        <w:rPr>
          <w:sz w:val="20"/>
          <w:szCs w:val="20"/>
        </w:rPr>
        <w:t>*1 Numărul dintre parantezele pătrate indică numărul de caractere fără spații.</w:t>
      </w:r>
    </w:p>
    <w:bookmarkEnd w:id="4"/>
    <w:p w14:paraId="0000003F" w14:textId="25C9B86F" w:rsidR="00C62A9B" w:rsidRPr="000D1EF3" w:rsidRDefault="00C62A9B">
      <w:pPr>
        <w:spacing w:after="0" w:line="240" w:lineRule="auto"/>
        <w:rPr>
          <w:rFonts w:asciiTheme="majorHAnsi" w:hAnsiTheme="majorHAnsi" w:cstheme="majorHAnsi"/>
          <w:b/>
          <w:sz w:val="24"/>
          <w:szCs w:val="24"/>
        </w:rPr>
      </w:pPr>
    </w:p>
    <w:p w14:paraId="0000005F" w14:textId="77777777" w:rsidR="00C62A9B" w:rsidRPr="000D1EF3" w:rsidRDefault="00D11CD4" w:rsidP="00E43440">
      <w:pPr>
        <w:pStyle w:val="Heading1"/>
      </w:pPr>
      <w:bookmarkStart w:id="5" w:name="_mf3h67c8hpdy" w:colFirst="0" w:colLast="0"/>
      <w:bookmarkStart w:id="6" w:name="_kci555476kxo" w:colFirst="0" w:colLast="0"/>
      <w:bookmarkStart w:id="7" w:name="_Toc78795656"/>
      <w:bookmarkEnd w:id="5"/>
      <w:bookmarkEnd w:id="6"/>
      <w:r w:rsidRPr="000D1EF3">
        <w:t>1.Strategia programului: principalele provocări și măsurile de politică aferente</w:t>
      </w:r>
      <w:bookmarkEnd w:id="7"/>
      <w:r w:rsidRPr="000D1EF3">
        <w:t xml:space="preserve"> </w:t>
      </w:r>
    </w:p>
    <w:p w14:paraId="00000060" w14:textId="77777777" w:rsidR="00C62A9B" w:rsidRPr="00E43440" w:rsidRDefault="00D11CD4" w:rsidP="00E43440">
      <w:pPr>
        <w:spacing w:after="120" w:line="240" w:lineRule="auto"/>
        <w:rPr>
          <w:rFonts w:asciiTheme="majorHAnsi" w:hAnsiTheme="majorHAnsi" w:cstheme="majorHAnsi"/>
          <w:i/>
          <w:sz w:val="20"/>
          <w:szCs w:val="20"/>
        </w:rPr>
      </w:pPr>
      <w:r w:rsidRPr="00E43440">
        <w:rPr>
          <w:rFonts w:asciiTheme="majorHAnsi" w:hAnsiTheme="majorHAnsi" w:cstheme="majorHAnsi"/>
          <w:i/>
          <w:sz w:val="20"/>
          <w:szCs w:val="20"/>
        </w:rPr>
        <w:t xml:space="preserve">Trimitere: articolul 22 alineatul (3) litera (a) punctele (iii), (iv), (v) și (ix) din Regulamentul (UE) 2021/1060 (RDC) </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C62A9B" w:rsidRPr="000D1EF3" w14:paraId="54B8C231" w14:textId="77777777">
        <w:tc>
          <w:tcPr>
            <w:tcW w:w="9628" w:type="dxa"/>
          </w:tcPr>
          <w:p w14:paraId="00000061" w14:textId="048DF713" w:rsidR="00C62A9B" w:rsidRPr="000D1EF3" w:rsidRDefault="00D11CD4">
            <w:pPr>
              <w:spacing w:after="120"/>
              <w:rPr>
                <w:rFonts w:asciiTheme="majorHAnsi" w:hAnsiTheme="majorHAnsi" w:cstheme="majorHAnsi"/>
                <w:i/>
                <w:sz w:val="20"/>
                <w:szCs w:val="20"/>
              </w:rPr>
            </w:pPr>
            <w:r w:rsidRPr="000D1EF3">
              <w:rPr>
                <w:rFonts w:asciiTheme="majorHAnsi" w:hAnsiTheme="majorHAnsi" w:cstheme="majorHAnsi"/>
                <w:i/>
                <w:color w:val="808080" w:themeColor="background1" w:themeShade="80"/>
                <w:sz w:val="20"/>
                <w:szCs w:val="20"/>
              </w:rPr>
              <w:t>Această sec</w:t>
            </w:r>
            <w:r w:rsidR="00812FFF" w:rsidRPr="000D1EF3">
              <w:rPr>
                <w:rFonts w:asciiTheme="majorHAnsi" w:hAnsiTheme="majorHAnsi" w:cstheme="majorHAnsi"/>
                <w:i/>
                <w:color w:val="808080" w:themeColor="background1" w:themeShade="80"/>
                <w:sz w:val="20"/>
                <w:szCs w:val="20"/>
              </w:rPr>
              <w:t>ț</w:t>
            </w:r>
            <w:r w:rsidRPr="000D1EF3">
              <w:rPr>
                <w:rFonts w:asciiTheme="majorHAnsi" w:hAnsiTheme="majorHAnsi" w:cstheme="majorHAnsi"/>
                <w:i/>
                <w:color w:val="808080" w:themeColor="background1" w:themeShade="80"/>
                <w:sz w:val="20"/>
                <w:szCs w:val="20"/>
              </w:rPr>
              <w:t>iune explică modul în care programul va aborda principalele provocări identificate la nivel na</w:t>
            </w:r>
            <w:r w:rsidR="00812FFF" w:rsidRPr="000D1EF3">
              <w:rPr>
                <w:rFonts w:asciiTheme="majorHAnsi" w:hAnsiTheme="majorHAnsi" w:cstheme="majorHAnsi"/>
                <w:i/>
                <w:color w:val="808080" w:themeColor="background1" w:themeShade="80"/>
                <w:sz w:val="20"/>
                <w:szCs w:val="20"/>
              </w:rPr>
              <w:t>ț</w:t>
            </w:r>
            <w:r w:rsidRPr="000D1EF3">
              <w:rPr>
                <w:rFonts w:asciiTheme="majorHAnsi" w:hAnsiTheme="majorHAnsi" w:cstheme="majorHAnsi"/>
                <w:i/>
                <w:color w:val="808080" w:themeColor="background1" w:themeShade="80"/>
                <w:sz w:val="20"/>
                <w:szCs w:val="20"/>
              </w:rPr>
              <w:t>ional pe baza evaluării nevoilor de la nivel local, regional și na</w:t>
            </w:r>
            <w:r w:rsidR="00812FFF" w:rsidRPr="000D1EF3">
              <w:rPr>
                <w:rFonts w:asciiTheme="majorHAnsi" w:hAnsiTheme="majorHAnsi" w:cstheme="majorHAnsi"/>
                <w:i/>
                <w:color w:val="808080" w:themeColor="background1" w:themeShade="80"/>
                <w:sz w:val="20"/>
                <w:szCs w:val="20"/>
              </w:rPr>
              <w:t>ț</w:t>
            </w:r>
            <w:r w:rsidRPr="000D1EF3">
              <w:rPr>
                <w:rFonts w:asciiTheme="majorHAnsi" w:hAnsiTheme="majorHAnsi" w:cstheme="majorHAnsi"/>
                <w:i/>
                <w:color w:val="808080" w:themeColor="background1" w:themeShade="80"/>
                <w:sz w:val="20"/>
                <w:szCs w:val="20"/>
              </w:rPr>
              <w:t>ional și/sau pe baza strategiilor. Ea oferă o imagine de ansamblu a stadiului punerii în aplicare a acquis-ului relevant al Uniunii și a progreselor înregistrate în ceea ce privește planurile de ac</w:t>
            </w:r>
            <w:r w:rsidR="00812FFF" w:rsidRPr="000D1EF3">
              <w:rPr>
                <w:rFonts w:asciiTheme="majorHAnsi" w:hAnsiTheme="majorHAnsi" w:cstheme="majorHAnsi"/>
                <w:i/>
                <w:color w:val="808080" w:themeColor="background1" w:themeShade="80"/>
                <w:sz w:val="20"/>
                <w:szCs w:val="20"/>
              </w:rPr>
              <w:t>ț</w:t>
            </w:r>
            <w:r w:rsidRPr="000D1EF3">
              <w:rPr>
                <w:rFonts w:asciiTheme="majorHAnsi" w:hAnsiTheme="majorHAnsi" w:cstheme="majorHAnsi"/>
                <w:i/>
                <w:color w:val="808080" w:themeColor="background1" w:themeShade="80"/>
                <w:sz w:val="20"/>
                <w:szCs w:val="20"/>
              </w:rPr>
              <w:t xml:space="preserve">iune ale Uniunii și descrie modul în care fondul va sprijini dezvoltarea acestora pe parcursul perioadei de programare. </w:t>
            </w:r>
          </w:p>
        </w:tc>
      </w:tr>
    </w:tbl>
    <w:p w14:paraId="00000062" w14:textId="77777777" w:rsidR="00C62A9B" w:rsidRPr="000D1EF3" w:rsidRDefault="00C62A9B">
      <w:pPr>
        <w:spacing w:after="120" w:line="240" w:lineRule="auto"/>
        <w:ind w:right="500"/>
        <w:jc w:val="both"/>
        <w:rPr>
          <w:rFonts w:asciiTheme="majorHAnsi" w:hAnsiTheme="majorHAnsi" w:cstheme="majorHAnsi"/>
          <w:sz w:val="24"/>
          <w:szCs w:val="24"/>
        </w:rPr>
      </w:pPr>
    </w:p>
    <w:p w14:paraId="00000063" w14:textId="6B1E9D1D" w:rsidR="00C62A9B" w:rsidRPr="000D1EF3" w:rsidRDefault="00D11CD4" w:rsidP="00E43440">
      <w:pPr>
        <w:pStyle w:val="Heading2"/>
      </w:pPr>
      <w:bookmarkStart w:id="8" w:name="_Toc78795657"/>
      <w:r w:rsidRPr="000D1EF3">
        <w:t>Cadrul strategic și competen</w:t>
      </w:r>
      <w:r w:rsidR="00812FFF" w:rsidRPr="000D1EF3">
        <w:t>ț</w:t>
      </w:r>
      <w:r w:rsidRPr="000D1EF3">
        <w:t>e</w:t>
      </w:r>
      <w:bookmarkEnd w:id="8"/>
    </w:p>
    <w:p w14:paraId="00000064" w14:textId="13869D60"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Programul </w:t>
      </w:r>
      <w:r w:rsidR="00731902"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731902" w:rsidRPr="000D1EF3">
        <w:rPr>
          <w:rFonts w:asciiTheme="majorHAnsi" w:hAnsiTheme="majorHAnsi" w:cstheme="majorHAnsi"/>
          <w:sz w:val="24"/>
          <w:szCs w:val="24"/>
        </w:rPr>
        <w:t>ional</w:t>
      </w:r>
      <w:r w:rsidR="006C49D1" w:rsidRPr="000D1EF3">
        <w:rPr>
          <w:rFonts w:asciiTheme="majorHAnsi" w:hAnsiTheme="majorHAnsi" w:cstheme="majorHAnsi"/>
          <w:sz w:val="24"/>
          <w:szCs w:val="24"/>
        </w:rPr>
        <w:t xml:space="preserve"> </w:t>
      </w:r>
      <w:bookmarkStart w:id="9" w:name="_Hlk78792542"/>
      <w:r w:rsidR="006C49D1" w:rsidRPr="000D1EF3">
        <w:rPr>
          <w:rFonts w:asciiTheme="majorHAnsi" w:hAnsiTheme="majorHAnsi" w:cstheme="majorHAnsi"/>
          <w:sz w:val="24"/>
          <w:szCs w:val="24"/>
        </w:rPr>
        <w:t>Instrumentul pentru managementul frontierelor și politica de vize</w:t>
      </w:r>
      <w:r w:rsidRPr="000D1EF3">
        <w:rPr>
          <w:rFonts w:asciiTheme="majorHAnsi" w:hAnsiTheme="majorHAnsi" w:cstheme="majorHAnsi"/>
          <w:sz w:val="24"/>
          <w:szCs w:val="24"/>
        </w:rPr>
        <w:t xml:space="preserve"> </w:t>
      </w:r>
      <w:bookmarkEnd w:id="9"/>
      <w:r w:rsidRPr="000D1EF3">
        <w:rPr>
          <w:rFonts w:asciiTheme="majorHAnsi" w:hAnsiTheme="majorHAnsi" w:cstheme="majorHAnsi"/>
          <w:sz w:val="24"/>
          <w:szCs w:val="24"/>
        </w:rPr>
        <w:t>IMFV (PN) propune măsuri în domeniul managementului integrat al frontierelor și sprijinirea politicii comune în domeniul vizelor, pentru a răspunde principalelor provocări și domenii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identificate în documentele strategice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și europene relevante pentru obiectivul general al Instrumentului pentru managementul frontierelor și politica de vize.</w:t>
      </w:r>
    </w:p>
    <w:p w14:paraId="00000065" w14:textId="566D27B9"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RO </w:t>
      </w:r>
      <w:r w:rsidR="00731902" w:rsidRPr="000D1EF3">
        <w:rPr>
          <w:rFonts w:asciiTheme="majorHAnsi" w:hAnsiTheme="majorHAnsi" w:cstheme="majorHAnsi"/>
          <w:sz w:val="24"/>
          <w:szCs w:val="24"/>
        </w:rPr>
        <w:t>își</w:t>
      </w:r>
      <w:r w:rsidRPr="000D1EF3">
        <w:rPr>
          <w:rFonts w:asciiTheme="majorHAnsi" w:hAnsiTheme="majorHAnsi" w:cstheme="majorHAnsi"/>
          <w:sz w:val="24"/>
          <w:szCs w:val="24"/>
        </w:rPr>
        <w:t xml:space="preserve"> propune să continue </w:t>
      </w:r>
      <w:r w:rsidR="00731902" w:rsidRPr="000D1EF3">
        <w:rPr>
          <w:rFonts w:asciiTheme="majorHAnsi" w:hAnsiTheme="majorHAnsi" w:cstheme="majorHAnsi"/>
          <w:sz w:val="24"/>
          <w:szCs w:val="24"/>
        </w:rPr>
        <w:t>ac</w:t>
      </w:r>
      <w:r w:rsidR="00812FFF" w:rsidRPr="000D1EF3">
        <w:rPr>
          <w:rFonts w:asciiTheme="majorHAnsi" w:hAnsiTheme="majorHAnsi" w:cstheme="majorHAnsi"/>
          <w:sz w:val="24"/>
          <w:szCs w:val="24"/>
        </w:rPr>
        <w:t>ț</w:t>
      </w:r>
      <w:r w:rsidR="00731902" w:rsidRPr="000D1EF3">
        <w:rPr>
          <w:rFonts w:asciiTheme="majorHAnsi" w:hAnsiTheme="majorHAnsi" w:cstheme="majorHAnsi"/>
          <w:sz w:val="24"/>
          <w:szCs w:val="24"/>
        </w:rPr>
        <w:t>iunile</w:t>
      </w:r>
      <w:r w:rsidRPr="000D1EF3">
        <w:rPr>
          <w:rFonts w:asciiTheme="majorHAnsi" w:hAnsiTheme="majorHAnsi" w:cstheme="majorHAnsi"/>
          <w:sz w:val="24"/>
          <w:szCs w:val="24"/>
        </w:rPr>
        <w:t xml:space="preserve"> privind implementarea acquis-ului UE referitoare la dezvoltarea managementului integrat al frontierei, fiind </w:t>
      </w:r>
      <w:r w:rsidR="00731902" w:rsidRPr="000D1EF3">
        <w:rPr>
          <w:rFonts w:asciiTheme="majorHAnsi" w:hAnsiTheme="majorHAnsi" w:cstheme="majorHAnsi"/>
          <w:sz w:val="24"/>
          <w:szCs w:val="24"/>
        </w:rPr>
        <w:t>conștientă</w:t>
      </w:r>
      <w:r w:rsidRPr="000D1EF3">
        <w:rPr>
          <w:rFonts w:asciiTheme="majorHAnsi" w:hAnsiTheme="majorHAnsi" w:cstheme="majorHAnsi"/>
          <w:sz w:val="24"/>
          <w:szCs w:val="24"/>
        </w:rPr>
        <w:t xml:space="preserve"> de rolul important pe care îl are în ceea ce </w:t>
      </w:r>
      <w:r w:rsidR="00731902" w:rsidRPr="000D1EF3">
        <w:rPr>
          <w:rFonts w:asciiTheme="majorHAnsi" w:hAnsiTheme="majorHAnsi" w:cstheme="majorHAnsi"/>
          <w:sz w:val="24"/>
          <w:szCs w:val="24"/>
        </w:rPr>
        <w:lastRenderedPageBreak/>
        <w:t>privește</w:t>
      </w:r>
      <w:r w:rsidRPr="000D1EF3">
        <w:rPr>
          <w:rFonts w:asciiTheme="majorHAnsi" w:hAnsiTheme="majorHAnsi" w:cstheme="majorHAnsi"/>
          <w:sz w:val="24"/>
          <w:szCs w:val="24"/>
        </w:rPr>
        <w:t xml:space="preserve"> asigurarea supravegherii și controlul trecerii frontierelor externe ale Uniunii Europene (UE) la cele mai ridicate standarde.</w:t>
      </w:r>
    </w:p>
    <w:p w14:paraId="00000066" w14:textId="3657FCB5"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domeniul </w:t>
      </w:r>
      <w:r w:rsidRPr="000D1EF3">
        <w:rPr>
          <w:rFonts w:asciiTheme="majorHAnsi" w:hAnsiTheme="majorHAnsi" w:cstheme="majorHAnsi"/>
          <w:b/>
          <w:sz w:val="24"/>
          <w:szCs w:val="24"/>
          <w:u w:val="single"/>
        </w:rPr>
        <w:t>frontierelor</w:t>
      </w:r>
      <w:r w:rsidRPr="000D1EF3">
        <w:rPr>
          <w:rFonts w:asciiTheme="majorHAnsi" w:hAnsiTheme="majorHAnsi" w:cstheme="majorHAnsi"/>
          <w:sz w:val="24"/>
          <w:szCs w:val="24"/>
        </w:rPr>
        <w:t>, PN va contribui la următoarele domenii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ionate în cadrul </w:t>
      </w:r>
      <w:r w:rsidRPr="000D1EF3">
        <w:rPr>
          <w:rFonts w:asciiTheme="majorHAnsi" w:hAnsiTheme="majorHAnsi" w:cstheme="majorHAnsi"/>
          <w:b/>
          <w:sz w:val="24"/>
          <w:szCs w:val="24"/>
        </w:rPr>
        <w:t>Strategiei Na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ionale de Apărare a </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ării pentru perioada 2020-2024</w:t>
      </w:r>
      <w:r w:rsidRPr="000D1EF3">
        <w:rPr>
          <w:rFonts w:asciiTheme="majorHAnsi" w:hAnsiTheme="majorHAnsi" w:cstheme="majorHAnsi"/>
          <w:sz w:val="24"/>
          <w:szCs w:val="24"/>
        </w:rPr>
        <w:t>: securizarea frontierei, în special frontiera externă a UE, în vederea asigurării caracterului fluent al traficului de pasageri și a mijloacelor de transport prin punctele de trecere a frontierei, concomitent cu prevenirea și combaterea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transfrontaliere, precum și identificarea și semnalarea vulnerabilită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și factorilor de risc în securizarea frontierelor, în vederea prevenirii și combaterii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ilegale, traficului de persoane și bunuri.</w:t>
      </w:r>
    </w:p>
    <w:p w14:paraId="00000067" w14:textId="0DD52FCE"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Strategia Na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ională de Management Integrat al Frontierei de Stat a României în perioada 2021-2027 (SNMIFSR draft dec. 2020)</w:t>
      </w:r>
      <w:r w:rsidRPr="000D1EF3">
        <w:rPr>
          <w:rFonts w:asciiTheme="majorHAnsi" w:hAnsiTheme="majorHAnsi" w:cstheme="majorHAnsi"/>
          <w:sz w:val="24"/>
          <w:szCs w:val="24"/>
        </w:rPr>
        <w:t xml:space="preserve"> prevede ca obiective asigurarea și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unui nivel înalt de supraveghere și control la frontieră, precum și utilizarea tehnologiei de ultimă genera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inclusiv sisteme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la scară largă. </w:t>
      </w:r>
    </w:p>
    <w:p w14:paraId="00000068" w14:textId="01CD2383" w:rsidR="00C62A9B" w:rsidRPr="000D1EF3" w:rsidRDefault="00D11CD4">
      <w:pPr>
        <w:spacing w:after="120" w:line="240" w:lineRule="auto"/>
        <w:jc w:val="both"/>
        <w:rPr>
          <w:rFonts w:asciiTheme="majorHAnsi" w:hAnsiTheme="majorHAnsi" w:cstheme="majorHAnsi"/>
          <w:sz w:val="24"/>
          <w:szCs w:val="24"/>
        </w:rPr>
      </w:pPr>
      <w:bookmarkStart w:id="10" w:name="_2et92p0" w:colFirst="0" w:colLast="0"/>
      <w:bookmarkEnd w:id="10"/>
      <w:r w:rsidRPr="000D1EF3">
        <w:rPr>
          <w:rFonts w:asciiTheme="majorHAnsi" w:hAnsiTheme="majorHAnsi" w:cstheme="majorHAnsi"/>
          <w:sz w:val="24"/>
          <w:szCs w:val="24"/>
        </w:rPr>
        <w:t>Obiectivele Strategiei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sunt în acord cu prevederile </w:t>
      </w:r>
      <w:r w:rsidRPr="000D1EF3">
        <w:rPr>
          <w:rFonts w:asciiTheme="majorHAnsi" w:hAnsiTheme="majorHAnsi" w:cstheme="majorHAnsi"/>
          <w:b/>
          <w:sz w:val="24"/>
          <w:szCs w:val="24"/>
        </w:rPr>
        <w:t>Strategiei tehnice și opera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ionale privind managementul integrat al frontierelor UE (TO EIBM)</w:t>
      </w:r>
      <w:r w:rsidRPr="000D1EF3">
        <w:rPr>
          <w:rFonts w:asciiTheme="majorHAnsi" w:hAnsiTheme="majorHAnsi" w:cstheme="majorHAnsi"/>
          <w:sz w:val="24"/>
          <w:szCs w:val="24"/>
        </w:rPr>
        <w:t xml:space="preserve"> reunind 11 din cele 12 componente strategice IBM și cele 3 componente generale prevăzute de art. 3 al Regulamentului EBCG.</w:t>
      </w:r>
    </w:p>
    <w:p w14:paraId="00000069" w14:textId="20C28068" w:rsidR="00C62A9B" w:rsidRPr="000D1EF3" w:rsidRDefault="00731902">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w:t>
      </w:r>
      <w:r w:rsidR="00D11CD4" w:rsidRPr="000D1EF3">
        <w:rPr>
          <w:rFonts w:asciiTheme="majorHAnsi" w:hAnsiTheme="majorHAnsi" w:cstheme="majorHAnsi"/>
          <w:sz w:val="24"/>
          <w:szCs w:val="24"/>
        </w:rPr>
        <w:t xml:space="preserve"> de Frontieră Română (PFR) este </w:t>
      </w:r>
      <w:r w:rsidRPr="000D1EF3">
        <w:rPr>
          <w:rFonts w:asciiTheme="majorHAnsi" w:hAnsiTheme="majorHAnsi" w:cstheme="majorHAnsi"/>
          <w:sz w:val="24"/>
          <w:szCs w:val="24"/>
        </w:rPr>
        <w:t>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w:t>
      </w:r>
      <w:r w:rsidR="00D11CD4" w:rsidRPr="000D1EF3">
        <w:rPr>
          <w:rFonts w:asciiTheme="majorHAnsi" w:hAnsiTheme="majorHAnsi" w:cstheme="majorHAnsi"/>
          <w:sz w:val="24"/>
          <w:szCs w:val="24"/>
        </w:rPr>
        <w:t xml:space="preserve"> care asigură implementarea componentelor managementului integrat al frontierelor, în cooperare cu autorită</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ile na</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ionale care de</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in atribu</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 xml:space="preserve">ii conform prevederilor </w:t>
      </w:r>
      <w:r w:rsidRPr="000D1EF3">
        <w:rPr>
          <w:rFonts w:asciiTheme="majorHAnsi" w:hAnsiTheme="majorHAnsi" w:cstheme="majorHAnsi"/>
          <w:sz w:val="24"/>
          <w:szCs w:val="24"/>
        </w:rPr>
        <w:t>Ordonan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w:t>
      </w:r>
      <w:r w:rsidR="00D11CD4" w:rsidRPr="000D1EF3">
        <w:rPr>
          <w:rFonts w:asciiTheme="majorHAnsi" w:hAnsiTheme="majorHAnsi" w:cstheme="majorHAnsi"/>
          <w:sz w:val="24"/>
          <w:szCs w:val="24"/>
        </w:rPr>
        <w:t xml:space="preserve"> de </w:t>
      </w:r>
      <w:r w:rsidRPr="000D1EF3">
        <w:rPr>
          <w:rFonts w:asciiTheme="majorHAnsi" w:hAnsiTheme="majorHAnsi" w:cstheme="majorHAnsi"/>
          <w:sz w:val="24"/>
          <w:szCs w:val="24"/>
        </w:rPr>
        <w:t>Urgen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w:t>
      </w:r>
      <w:r w:rsidR="00D11CD4" w:rsidRPr="000D1EF3">
        <w:rPr>
          <w:rFonts w:asciiTheme="majorHAnsi" w:hAnsiTheme="majorHAnsi" w:cstheme="majorHAnsi"/>
          <w:sz w:val="24"/>
          <w:szCs w:val="24"/>
        </w:rPr>
        <w:t xml:space="preserve"> nr. 105/2001, în special Centrul Na</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ional SIS, Poli</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ia Română, Inspectoratul General pentru Imigrări și Direc</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ia Generală a Vămilor.</w:t>
      </w:r>
    </w:p>
    <w:p w14:paraId="0000006A" w14:textId="2805ACEC"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domeniul</w:t>
      </w:r>
      <w:r w:rsidRPr="000D1EF3">
        <w:rPr>
          <w:rFonts w:asciiTheme="majorHAnsi" w:hAnsiTheme="majorHAnsi" w:cstheme="majorHAnsi"/>
          <w:b/>
          <w:sz w:val="24"/>
          <w:szCs w:val="24"/>
        </w:rPr>
        <w:t xml:space="preserve"> </w:t>
      </w:r>
      <w:r w:rsidRPr="000D1EF3">
        <w:rPr>
          <w:rFonts w:asciiTheme="majorHAnsi" w:hAnsiTheme="majorHAnsi" w:cstheme="majorHAnsi"/>
          <w:b/>
          <w:sz w:val="24"/>
          <w:szCs w:val="24"/>
          <w:u w:val="single"/>
        </w:rPr>
        <w:t>vizelor</w:t>
      </w:r>
      <w:r w:rsidRPr="000D1EF3">
        <w:rPr>
          <w:rFonts w:asciiTheme="majorHAnsi" w:hAnsiTheme="majorHAnsi" w:cstheme="majorHAnsi"/>
          <w:sz w:val="24"/>
          <w:szCs w:val="24"/>
        </w:rPr>
        <w:t xml:space="preserve">, în conformitate cu </w:t>
      </w:r>
      <w:hyperlink r:id="rId8">
        <w:r w:rsidRPr="000D1EF3">
          <w:rPr>
            <w:rFonts w:asciiTheme="majorHAnsi" w:hAnsiTheme="majorHAnsi" w:cstheme="majorHAnsi"/>
            <w:b/>
            <w:sz w:val="24"/>
            <w:szCs w:val="24"/>
            <w:highlight w:val="white"/>
          </w:rPr>
          <w:t>Programul de Guvernare 2020-2024</w:t>
        </w:r>
      </w:hyperlink>
      <w:r w:rsidRPr="000D1EF3">
        <w:rPr>
          <w:rFonts w:asciiTheme="majorHAnsi" w:hAnsiTheme="majorHAnsi" w:cstheme="majorHAnsi"/>
          <w:sz w:val="24"/>
          <w:szCs w:val="24"/>
        </w:rPr>
        <w:t xml:space="preserve"> prin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prin PN se urmărește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punerii în aplicare a politicii comune în materie de vize, cooperarea la nivel consular, întreprinderea demersurilor de redimensionare și modernizare a 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elei consulare a României, optimizarea programelor de pregătire ini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ială și continuă a personalului consular, creșterea calită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digitalizarea serviciilor consulare, facilitarea accesului la acestea, inclusiv prin optimizarea sistemelor informatice folosite în activitatea consulară. Ministerul Afacerilor Externe este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responsabilă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de măsurile de punere în aplicare a politicii comune în materie de vize, în conformitate cu prevederile HG 16/2017. </w:t>
      </w:r>
    </w:p>
    <w:p w14:paraId="0000006B" w14:textId="0F8F5623" w:rsidR="00C62A9B" w:rsidRPr="000D1EF3" w:rsidRDefault="00D11CD4" w:rsidP="00E43440">
      <w:pPr>
        <w:pStyle w:val="Heading2"/>
      </w:pPr>
      <w:bookmarkStart w:id="11" w:name="_Toc78795658"/>
      <w:r w:rsidRPr="000D1EF3">
        <w:t>Stadiul implementării și principalele provocări la nivel na</w:t>
      </w:r>
      <w:r w:rsidR="00812FFF" w:rsidRPr="000D1EF3">
        <w:t>ț</w:t>
      </w:r>
      <w:r w:rsidRPr="000D1EF3">
        <w:t>ional</w:t>
      </w:r>
      <w:bookmarkEnd w:id="11"/>
    </w:p>
    <w:p w14:paraId="0000006C" w14:textId="77777777" w:rsidR="00C62A9B" w:rsidRPr="000D1EF3" w:rsidRDefault="00D11CD4">
      <w:pPr>
        <w:tabs>
          <w:tab w:val="left" w:pos="8364"/>
        </w:tabs>
        <w:spacing w:after="120" w:line="240" w:lineRule="auto"/>
        <w:jc w:val="both"/>
        <w:rPr>
          <w:rFonts w:asciiTheme="majorHAnsi" w:hAnsiTheme="majorHAnsi" w:cstheme="majorHAnsi"/>
          <w:b/>
          <w:sz w:val="24"/>
          <w:szCs w:val="24"/>
        </w:rPr>
      </w:pPr>
      <w:r w:rsidRPr="000D1EF3">
        <w:rPr>
          <w:rFonts w:asciiTheme="majorHAnsi" w:hAnsiTheme="majorHAnsi" w:cstheme="majorHAnsi"/>
          <w:b/>
          <w:sz w:val="24"/>
          <w:szCs w:val="24"/>
        </w:rPr>
        <w:t xml:space="preserve">Frontiera </w:t>
      </w:r>
      <w:r w:rsidRPr="000D1EF3">
        <w:rPr>
          <w:rFonts w:asciiTheme="majorHAnsi" w:hAnsiTheme="majorHAnsi" w:cstheme="majorHAnsi"/>
          <w:sz w:val="24"/>
          <w:szCs w:val="24"/>
        </w:rPr>
        <w:t xml:space="preserve">de stat a RO are o lungime de aprox. 3.150 de kilometri, ce acoperă toate tipurile de frontieră: terestră, fluvială, maritimă și aeriană, din care 2.070 km reprezintă frontiera externă a UE, formată din 1.845 km frontieră terestră și 225 km frontieră maritimă. RO gestionează un segment important al frontierei externe terestre a UE, în procent de </w:t>
      </w:r>
      <w:r w:rsidRPr="000D1EF3">
        <w:rPr>
          <w:rFonts w:asciiTheme="majorHAnsi" w:hAnsiTheme="majorHAnsi" w:cstheme="majorHAnsi"/>
          <w:b/>
          <w:sz w:val="24"/>
          <w:szCs w:val="24"/>
        </w:rPr>
        <w:t xml:space="preserve">aproximativ 16% din totalul frontierei externe a UE. </w:t>
      </w:r>
    </w:p>
    <w:p w14:paraId="0000006D" w14:textId="4DECA0B7"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Frontiera internă cu SM ale UE este cea cu Ungaria, caracterizată prin teren preponderent de câmpie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râuri și cu Republica Bulgaria, frontieră de uscat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pe fluviul Dunărea, dificil de traversat din cauza curen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puternici.</w:t>
      </w:r>
    </w:p>
    <w:p w14:paraId="0000006E" w14:textId="6D7DE159"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ceea ce </w:t>
      </w:r>
      <w:r w:rsidR="006C17F3" w:rsidRPr="000D1EF3">
        <w:rPr>
          <w:rFonts w:asciiTheme="majorHAnsi" w:hAnsiTheme="majorHAnsi" w:cstheme="majorHAnsi"/>
          <w:sz w:val="24"/>
          <w:szCs w:val="24"/>
        </w:rPr>
        <w:t>privește</w:t>
      </w:r>
      <w:r w:rsidRPr="000D1EF3">
        <w:rPr>
          <w:rFonts w:asciiTheme="majorHAnsi" w:hAnsiTheme="majorHAnsi" w:cstheme="majorHAnsi"/>
          <w:sz w:val="24"/>
          <w:szCs w:val="24"/>
        </w:rPr>
        <w:t xml:space="preserve"> frontiera externă a UE, RO gestionează frontiera cu Ucraina (un segment muntos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împădurit, în mare parte dificil de traversat, un segment pe fluviul Dunărea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al treilea segment la frontiera maritimă), Republica Moldova (constituită de râul Prut) şi Republica Serbia (frontieră terestră şi fluvială, pe fluviul Dunărea).</w:t>
      </w:r>
    </w:p>
    <w:p w14:paraId="0000006F" w14:textId="340DE934"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RO există 91 de puncte de trecere a frontierei, cu regim de trafic </w:t>
      </w:r>
      <w:r w:rsidR="006C17F3" w:rsidRPr="000D1EF3">
        <w:rPr>
          <w:rFonts w:asciiTheme="majorHAnsi" w:hAnsiTheme="majorHAnsi" w:cstheme="majorHAnsi"/>
          <w:sz w:val="24"/>
          <w:szCs w:val="24"/>
        </w:rPr>
        <w:t>interna</w:t>
      </w:r>
      <w:r w:rsidR="00812FFF" w:rsidRPr="000D1EF3">
        <w:rPr>
          <w:rFonts w:asciiTheme="majorHAnsi" w:hAnsiTheme="majorHAnsi" w:cstheme="majorHAnsi"/>
          <w:sz w:val="24"/>
          <w:szCs w:val="24"/>
        </w:rPr>
        <w:t>ț</w:t>
      </w:r>
      <w:r w:rsidR="006C17F3" w:rsidRPr="000D1EF3">
        <w:rPr>
          <w:rFonts w:asciiTheme="majorHAnsi" w:hAnsiTheme="majorHAnsi" w:cstheme="majorHAnsi"/>
          <w:sz w:val="24"/>
          <w:szCs w:val="24"/>
        </w:rPr>
        <w:t>ional</w:t>
      </w:r>
      <w:r w:rsidRPr="000D1EF3">
        <w:rPr>
          <w:rFonts w:asciiTheme="majorHAnsi" w:hAnsiTheme="majorHAnsi" w:cstheme="majorHAnsi"/>
          <w:sz w:val="24"/>
          <w:szCs w:val="24"/>
        </w:rPr>
        <w:t>, dintre care: 41 cu specific rutier, 14 cu specific feroviar, 15 cu specific portuar, 5 cu specific portuar maritim și 16 cu specific aeroportuar.</w:t>
      </w:r>
    </w:p>
    <w:p w14:paraId="00000070" w14:textId="6F4AA81F"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lastRenderedPageBreak/>
        <w:t xml:space="preserve">Traficul de călători a înregistrat </w:t>
      </w:r>
      <w:r w:rsidR="006C17F3" w:rsidRPr="000D1EF3">
        <w:rPr>
          <w:rFonts w:asciiTheme="majorHAnsi" w:hAnsiTheme="majorHAnsi" w:cstheme="majorHAnsi"/>
          <w:sz w:val="24"/>
          <w:szCs w:val="24"/>
        </w:rPr>
        <w:t>creșteri</w:t>
      </w:r>
      <w:r w:rsidRPr="000D1EF3">
        <w:rPr>
          <w:rFonts w:asciiTheme="majorHAnsi" w:hAnsiTheme="majorHAnsi" w:cstheme="majorHAnsi"/>
          <w:sz w:val="24"/>
          <w:szCs w:val="24"/>
        </w:rPr>
        <w:t xml:space="preserve"> de până la 11 procente, raportat la o perioadă relevantă de trei ani, respectiv 2017-2019, cea mai frecventată frontieră fiind cea terestră, urmată de cea aeroportuară.</w:t>
      </w:r>
    </w:p>
    <w:p w14:paraId="00000071" w14:textId="4CF41EDD"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Din punct de vedere al tipului de trafic, cel terestru are cea mai mare pondere, aproximativ 70% în fiecare dintre cei trei ani de referin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ă, iar traficul aeroportuar are aproximativ 30% din total trafic. </w:t>
      </w:r>
    </w:p>
    <w:p w14:paraId="00000072" w14:textId="314E20B5"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Având în vedere 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geostrategică la confluen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 dintre Orient și Occident, precum și statutul de stat membru NATO și UE, RO se confruntă cu o </w:t>
      </w:r>
      <w:r w:rsidRPr="000D1EF3">
        <w:rPr>
          <w:rFonts w:asciiTheme="majorHAnsi" w:hAnsiTheme="majorHAnsi" w:cstheme="majorHAnsi"/>
          <w:b/>
          <w:sz w:val="24"/>
          <w:szCs w:val="24"/>
        </w:rPr>
        <w:t>paletă variată a infrac</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ionalită</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w:t>
      </w:r>
      <w:r w:rsidRPr="000D1EF3">
        <w:rPr>
          <w:rFonts w:asciiTheme="majorHAnsi" w:hAnsiTheme="majorHAnsi" w:cstheme="majorHAnsi"/>
          <w:sz w:val="24"/>
          <w:szCs w:val="24"/>
        </w:rPr>
        <w:t xml:space="preserve"> la frontieră. Asigurarea și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unui înalt nivel de supraveghere și control al frontierelor, în contextul diversită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frontierei și dinamicii traficului, dar și a riscurilor transfrontaliere prognozate ca urmare a 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geo-strategice a RO, reprezintă una din principalele provocări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identificate în domeniul prevenirii și combaterii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ilegale. </w:t>
      </w:r>
    </w:p>
    <w:p w14:paraId="00000073" w14:textId="10D39F16"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Alt obiectiv major al RO este continuarea modernizării infrastructurii punctelor de trecere a frontierei, care este subdimensionată în unele loca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raportat la volumul traficului de călători/mijloace de transport, iar pentru asigurarea unor</w:t>
      </w:r>
      <w:r w:rsidRPr="000D1EF3">
        <w:rPr>
          <w:rFonts w:asciiTheme="majorHAnsi" w:hAnsiTheme="majorHAnsi" w:cstheme="majorHAnsi"/>
          <w:b/>
          <w:sz w:val="24"/>
          <w:szCs w:val="24"/>
        </w:rPr>
        <w:t xml:space="preserve"> frontiere “</w:t>
      </w:r>
      <w:proofErr w:type="spellStart"/>
      <w:r w:rsidRPr="000D1EF3">
        <w:rPr>
          <w:rFonts w:asciiTheme="majorHAnsi" w:hAnsiTheme="majorHAnsi" w:cstheme="majorHAnsi"/>
          <w:b/>
          <w:sz w:val="24"/>
          <w:szCs w:val="24"/>
        </w:rPr>
        <w:t>user-friendly</w:t>
      </w:r>
      <w:proofErr w:type="spellEnd"/>
      <w:r w:rsidRPr="000D1EF3">
        <w:rPr>
          <w:rFonts w:asciiTheme="majorHAnsi" w:hAnsiTheme="majorHAnsi" w:cstheme="majorHAnsi"/>
          <w:b/>
          <w:sz w:val="24"/>
          <w:szCs w:val="24"/>
        </w:rPr>
        <w:t xml:space="preserve">” </w:t>
      </w:r>
      <w:r w:rsidRPr="000D1EF3">
        <w:rPr>
          <w:rFonts w:asciiTheme="majorHAnsi" w:hAnsiTheme="majorHAnsi" w:cstheme="majorHAnsi"/>
          <w:sz w:val="24"/>
          <w:szCs w:val="24"/>
        </w:rPr>
        <w:t>și a securită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frontierei externe este necesară adoptarea de măsuri de </w:t>
      </w:r>
      <w:r w:rsidR="006C17F3" w:rsidRPr="000D1EF3">
        <w:rPr>
          <w:rFonts w:asciiTheme="majorHAnsi" w:hAnsiTheme="majorHAnsi" w:cstheme="majorHAnsi"/>
          <w:sz w:val="24"/>
          <w:szCs w:val="24"/>
        </w:rPr>
        <w:t>creștere</w:t>
      </w:r>
      <w:r w:rsidRPr="000D1EF3">
        <w:rPr>
          <w:rFonts w:asciiTheme="majorHAnsi" w:hAnsiTheme="majorHAnsi" w:cstheme="majorHAnsi"/>
          <w:sz w:val="24"/>
          <w:szCs w:val="24"/>
        </w:rPr>
        <w:t xml:space="preserve"> a </w:t>
      </w:r>
      <w:r w:rsidR="006C17F3" w:rsidRPr="000D1EF3">
        <w:rPr>
          <w:rFonts w:asciiTheme="majorHAnsi" w:hAnsiTheme="majorHAnsi" w:cstheme="majorHAnsi"/>
          <w:sz w:val="24"/>
          <w:szCs w:val="24"/>
        </w:rPr>
        <w:t>capacită</w:t>
      </w:r>
      <w:r w:rsidR="00812FFF" w:rsidRPr="000D1EF3">
        <w:rPr>
          <w:rFonts w:asciiTheme="majorHAnsi" w:hAnsiTheme="majorHAnsi" w:cstheme="majorHAnsi"/>
          <w:sz w:val="24"/>
          <w:szCs w:val="24"/>
        </w:rPr>
        <w:t>ț</w:t>
      </w:r>
      <w:r w:rsidR="006C17F3" w:rsidRPr="000D1EF3">
        <w:rPr>
          <w:rFonts w:asciiTheme="majorHAnsi" w:hAnsiTheme="majorHAnsi" w:cstheme="majorHAnsi"/>
          <w:sz w:val="24"/>
          <w:szCs w:val="24"/>
        </w:rPr>
        <w:t>ii</w:t>
      </w:r>
      <w:r w:rsidRPr="000D1EF3">
        <w:rPr>
          <w:rFonts w:asciiTheme="majorHAnsi" w:hAnsiTheme="majorHAnsi" w:cstheme="majorHAnsi"/>
          <w:sz w:val="24"/>
          <w:szCs w:val="24"/>
        </w:rPr>
        <w:t xml:space="preserve"> de procesare a traficului prin punctele de trecere a frontierei. </w:t>
      </w:r>
    </w:p>
    <w:p w14:paraId="00000074" w14:textId="41ED6CCF"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perioada 2014-2020, o parte din </w:t>
      </w:r>
      <w:r w:rsidRPr="000D1EF3">
        <w:rPr>
          <w:rFonts w:asciiTheme="majorHAnsi" w:hAnsiTheme="majorHAnsi" w:cstheme="majorHAnsi"/>
          <w:b/>
          <w:sz w:val="24"/>
          <w:szCs w:val="24"/>
        </w:rPr>
        <w:t>infrastructura destinată activită</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ilor specifice poli</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iei de frontieră</w:t>
      </w:r>
      <w:r w:rsidRPr="000D1EF3">
        <w:rPr>
          <w:rFonts w:asciiTheme="majorHAnsi" w:hAnsiTheme="majorHAnsi" w:cstheme="majorHAnsi"/>
          <w:sz w:val="24"/>
          <w:szCs w:val="24"/>
        </w:rPr>
        <w:t xml:space="preserve"> a fost modernizată, totuși sunt necesare în continuare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pentru modernizarea și construc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sedii și clădiri dedicate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ilor </w:t>
      </w:r>
      <w:r w:rsidR="00812FFF" w:rsidRPr="000D1EF3">
        <w:rPr>
          <w:rFonts w:asciiTheme="majorHAnsi" w:hAnsiTheme="majorHAnsi" w:cstheme="majorHAnsi"/>
          <w:sz w:val="24"/>
          <w:szCs w:val="24"/>
        </w:rPr>
        <w:t>polițiștilor</w:t>
      </w:r>
      <w:r w:rsidRPr="000D1EF3">
        <w:rPr>
          <w:rFonts w:asciiTheme="majorHAnsi" w:hAnsiTheme="majorHAnsi" w:cstheme="majorHAnsi"/>
          <w:sz w:val="24"/>
          <w:szCs w:val="24"/>
        </w:rPr>
        <w:t xml:space="preserve"> de frontieră, în vederea creșterii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reac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și de adaptare la dinamica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operative. </w:t>
      </w:r>
    </w:p>
    <w:p w14:paraId="00000075" w14:textId="75B34ACD" w:rsidR="00C62A9B" w:rsidRPr="000D1EF3" w:rsidRDefault="00D11CD4">
      <w:pPr>
        <w:spacing w:after="120" w:line="240" w:lineRule="auto"/>
        <w:jc w:val="both"/>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RO va continua eforturile pentru modernizarea, consolidarea și men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inerea în stare func</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ionare optimă a sistemelor, echipamentelor și mijloacelor de mobilitate specifice activită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ilor de supraveghere și control la frontieră, care să sus</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ină prevenirea și combaterea migra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iei ilegale și a criminalită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transfrontaliere. Astfel, un obiectiv important al RO este consolidarea dimensiunii opera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ionale a sistemului de gestionare integrată a frontierelor prin aplicarea unor standarde eficiente și compatibile cu cele mai bune practici în domeniu.</w:t>
      </w:r>
    </w:p>
    <w:p w14:paraId="00000076" w14:textId="28D8F84A"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RO are în vedere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măsurilor pentru implementarea nevoilor stabilite prin planul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de dezvoltare 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pentru gestionarea frontierelor și returnare, care va fi elaborat în baza Regulamentului EBCGA 2.0, precum și a recomandărilor din Manualul practic pentru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iștii de frontieră 2019 și din planurilor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ale UE relevante, inclusiv cel elaborat în baza Strategiei FRONTEX privind drepturile fundamentale 2021.</w:t>
      </w:r>
    </w:p>
    <w:p w14:paraId="00000077" w14:textId="548FF6A9"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Referitor la </w:t>
      </w:r>
      <w:r w:rsidRPr="000D1EF3">
        <w:rPr>
          <w:rFonts w:asciiTheme="majorHAnsi" w:hAnsiTheme="majorHAnsi" w:cstheme="majorHAnsi"/>
          <w:b/>
          <w:sz w:val="24"/>
          <w:szCs w:val="24"/>
        </w:rPr>
        <w:t>migra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ia ilegală</w:t>
      </w:r>
      <w:r w:rsidRPr="000D1EF3">
        <w:rPr>
          <w:rFonts w:asciiTheme="majorHAnsi" w:hAnsiTheme="majorHAnsi" w:cstheme="majorHAnsi"/>
          <w:sz w:val="24"/>
          <w:szCs w:val="24"/>
        </w:rPr>
        <w:t>, sunt necesare măsuri pentru descurajarea fenomenului, care se manifestă în special prin trecerea frauduloasă a frontierei verzi, cu sprijinul grupărilor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transna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eludarea controlului de frontieră prin ascunderea în mijloace de transport sau prin utilizarea de documente de călătorie false/contrafăcute. </w:t>
      </w:r>
    </w:p>
    <w:p w14:paraId="00000078" w14:textId="3FD56B09"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Potrivit Raportului FRONTEX privind </w:t>
      </w:r>
      <w:r w:rsidRPr="000D1EF3">
        <w:rPr>
          <w:rFonts w:asciiTheme="majorHAnsi" w:hAnsiTheme="majorHAnsi" w:cstheme="majorHAnsi"/>
          <w:b/>
          <w:sz w:val="24"/>
          <w:szCs w:val="24"/>
        </w:rPr>
        <w:t>analiza riscurilor</w:t>
      </w:r>
      <w:r w:rsidRPr="000D1EF3">
        <w:rPr>
          <w:rFonts w:asciiTheme="majorHAnsi" w:hAnsiTheme="majorHAnsi" w:cstheme="majorHAnsi"/>
          <w:sz w:val="24"/>
          <w:szCs w:val="24"/>
        </w:rPr>
        <w:t xml:space="preserve"> pentru 2020, deși la frontiera terestră externă estică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poate fi evaluată în prezent drept calmă în compara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cu celelalte rute, sunt înregistrate creșteri ale numărului de refuzuri ale intrării și ale traficului cu migran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iar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frontalieră se poate schimba rapid din cauza evolu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iilor politice imprevizibile din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ările învecinate. Presiunea la grani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ele României este exercitată de </w:t>
      </w:r>
      <w:r w:rsidR="00812FFF" w:rsidRPr="000D1EF3">
        <w:rPr>
          <w:rFonts w:asciiTheme="majorHAnsi" w:hAnsiTheme="majorHAnsi" w:cstheme="majorHAnsi"/>
          <w:sz w:val="24"/>
          <w:szCs w:val="24"/>
        </w:rPr>
        <w:t>migranți</w:t>
      </w:r>
      <w:r w:rsidRPr="000D1EF3">
        <w:rPr>
          <w:rFonts w:asciiTheme="majorHAnsi" w:hAnsiTheme="majorHAnsi" w:cstheme="majorHAnsi"/>
          <w:sz w:val="24"/>
          <w:szCs w:val="24"/>
        </w:rPr>
        <w:t xml:space="preserve"> afla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deja în regiunea Balcanilor de Vest, împreună cu cei care se așteaptă să sosească din sud.</w:t>
      </w:r>
    </w:p>
    <w:p w14:paraId="00000079" w14:textId="728D8C97"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contextul actual, frontierele nu pot fi administrate eficient fără </w:t>
      </w:r>
      <w:r w:rsidRPr="000D1EF3">
        <w:rPr>
          <w:rFonts w:asciiTheme="majorHAnsi" w:hAnsiTheme="majorHAnsi" w:cstheme="majorHAnsi"/>
          <w:b/>
          <w:sz w:val="24"/>
          <w:szCs w:val="24"/>
        </w:rPr>
        <w:t>sisteme informatice și de comunica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 performante și interoperabile</w:t>
      </w:r>
      <w:r w:rsidRPr="000D1EF3">
        <w:rPr>
          <w:rFonts w:asciiTheme="majorHAnsi" w:hAnsiTheme="majorHAnsi" w:cstheme="majorHAnsi"/>
          <w:sz w:val="24"/>
          <w:szCs w:val="24"/>
        </w:rPr>
        <w:t xml:space="preserve">. RO utilizează sistemul informatic </w:t>
      </w:r>
      <w:proofErr w:type="spellStart"/>
      <w:r w:rsidRPr="000D1EF3">
        <w:rPr>
          <w:rFonts w:asciiTheme="majorHAnsi" w:hAnsiTheme="majorHAnsi" w:cstheme="majorHAnsi"/>
          <w:sz w:val="24"/>
          <w:szCs w:val="24"/>
        </w:rPr>
        <w:t>eSIF</w:t>
      </w:r>
      <w:proofErr w:type="spellEnd"/>
      <w:r w:rsidRPr="000D1EF3">
        <w:rPr>
          <w:rFonts w:asciiTheme="majorHAnsi" w:hAnsiTheme="majorHAnsi" w:cstheme="majorHAnsi"/>
          <w:sz w:val="24"/>
          <w:szCs w:val="24"/>
        </w:rPr>
        <w:t xml:space="preserve"> (Sistemul Informatic al Frontierei), dezvoltat și administrat intern de către specialiștii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de frontieră.</w:t>
      </w:r>
    </w:p>
    <w:p w14:paraId="0000007A" w14:textId="56A61FEF" w:rsidR="00C62A9B" w:rsidRPr="000D1EF3" w:rsidRDefault="00D11CD4">
      <w:pPr>
        <w:spacing w:after="120" w:line="240" w:lineRule="auto"/>
        <w:jc w:val="both"/>
        <w:rPr>
          <w:rFonts w:asciiTheme="majorHAnsi" w:hAnsiTheme="majorHAnsi" w:cstheme="majorHAnsi"/>
          <w:sz w:val="24"/>
          <w:szCs w:val="24"/>
        </w:rPr>
      </w:pPr>
      <w:proofErr w:type="spellStart"/>
      <w:r w:rsidRPr="000D1EF3">
        <w:rPr>
          <w:rFonts w:asciiTheme="majorHAnsi" w:hAnsiTheme="majorHAnsi" w:cstheme="majorHAnsi"/>
          <w:sz w:val="24"/>
          <w:szCs w:val="24"/>
        </w:rPr>
        <w:lastRenderedPageBreak/>
        <w:t>eSIF</w:t>
      </w:r>
      <w:proofErr w:type="spellEnd"/>
      <w:r w:rsidRPr="000D1EF3">
        <w:rPr>
          <w:rFonts w:asciiTheme="majorHAnsi" w:hAnsiTheme="majorHAnsi" w:cstheme="majorHAnsi"/>
          <w:sz w:val="24"/>
          <w:szCs w:val="24"/>
        </w:rPr>
        <w:t xml:space="preserve"> integrează multiple module care con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interes necesare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iștilor de frontieră pentru îndeplinirea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specifice, inclusiv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control la frontieră - linia întâi și linia a doua, eviden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intrări/ieșiri cetă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eni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alerte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evenimente raportate, statistici. Acest sistem asigură accesarea directă și în mod integrat a bazelor de date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europene și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și va integra fluxurile de lucru aferente sistemelor IT europene care vor fi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ionalizate. </w:t>
      </w:r>
    </w:p>
    <w:p w14:paraId="0000007B" w14:textId="03502536" w:rsidR="00C62A9B" w:rsidRPr="000D1EF3" w:rsidRDefault="00D11CD4">
      <w:pPr>
        <w:spacing w:after="120" w:line="240" w:lineRule="auto"/>
        <w:jc w:val="both"/>
        <w:rPr>
          <w:rFonts w:asciiTheme="majorHAnsi" w:hAnsiTheme="majorHAnsi" w:cstheme="majorHAnsi"/>
          <w:color w:val="FF0000"/>
          <w:sz w:val="24"/>
          <w:szCs w:val="24"/>
          <w:highlight w:val="yellow"/>
        </w:rPr>
      </w:pPr>
      <w:r w:rsidRPr="000D1EF3">
        <w:rPr>
          <w:rFonts w:asciiTheme="majorHAnsi" w:hAnsiTheme="majorHAnsi" w:cstheme="majorHAnsi"/>
          <w:sz w:val="24"/>
          <w:szCs w:val="24"/>
        </w:rPr>
        <w:t>Implementarea eficientă a sistemelor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la scară largă curente (SIS, </w:t>
      </w:r>
      <w:proofErr w:type="spellStart"/>
      <w:r w:rsidRPr="000D1EF3">
        <w:rPr>
          <w:rFonts w:asciiTheme="majorHAnsi" w:hAnsiTheme="majorHAnsi" w:cstheme="majorHAnsi"/>
          <w:sz w:val="24"/>
          <w:szCs w:val="24"/>
        </w:rPr>
        <w:t>Eurodac</w:t>
      </w:r>
      <w:proofErr w:type="spellEnd"/>
      <w:r w:rsidRPr="000D1EF3">
        <w:rPr>
          <w:rFonts w:asciiTheme="majorHAnsi" w:hAnsiTheme="majorHAnsi" w:cstheme="majorHAnsi"/>
          <w:sz w:val="24"/>
          <w:szCs w:val="24"/>
        </w:rPr>
        <w:t xml:space="preserve">, </w:t>
      </w:r>
      <w:proofErr w:type="spellStart"/>
      <w:r w:rsidRPr="000D1EF3">
        <w:rPr>
          <w:rFonts w:asciiTheme="majorHAnsi" w:hAnsiTheme="majorHAnsi" w:cstheme="majorHAnsi"/>
          <w:sz w:val="24"/>
          <w:szCs w:val="24"/>
        </w:rPr>
        <w:t>Ecris</w:t>
      </w:r>
      <w:proofErr w:type="spellEnd"/>
      <w:r w:rsidRPr="000D1EF3">
        <w:rPr>
          <w:rFonts w:asciiTheme="majorHAnsi" w:hAnsiTheme="majorHAnsi" w:cstheme="majorHAnsi"/>
          <w:sz w:val="24"/>
          <w:szCs w:val="24"/>
        </w:rPr>
        <w:t xml:space="preserve">-TCN, EES, ETIAS) și viitoare, precum și interoperabilitatea dintre acestea, reprezintă una din provocările managementului integrat al frontierei la nivelul RO. </w:t>
      </w:r>
    </w:p>
    <w:p w14:paraId="0000007C" w14:textId="50215D6C"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RO implementează cu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din FSI Frontiere și din bugetul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măsuri pentru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ionalizarea și pentru asigurarea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sistemelor informatice la scară largă, în special pentru punerea în aplicare 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cu implica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financiare din Regulamentele (UE) 2018/1860, 2018/1861, 2018/1862, 2017/2226, 2018/1240, inclusiv pregătirea personalului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cu drept de acces la aceste sisteme, crearea 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ETIAS și a punctului central de acces la EES și ETIAS. </w:t>
      </w:r>
    </w:p>
    <w:p w14:paraId="0000007D" w14:textId="1DF2F711"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Asigurarea </w:t>
      </w:r>
      <w:r w:rsidRPr="000D1EF3">
        <w:rPr>
          <w:rFonts w:asciiTheme="majorHAnsi" w:hAnsiTheme="majorHAnsi" w:cstheme="majorHAnsi"/>
          <w:b/>
          <w:sz w:val="24"/>
          <w:szCs w:val="24"/>
        </w:rPr>
        <w:t>interoperabilită</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w:t>
      </w:r>
      <w:r w:rsidRPr="000D1EF3">
        <w:rPr>
          <w:rFonts w:asciiTheme="majorHAnsi" w:hAnsiTheme="majorHAnsi" w:cstheme="majorHAnsi"/>
          <w:sz w:val="24"/>
          <w:szCs w:val="24"/>
        </w:rPr>
        <w:t xml:space="preserve"> și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conform standardelor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ale sistemelor IT la scară largă, cu scopul de a crește eficacitatea verificărilor la frontiere, reprezintă un obiectiv major al RO, întrucât aceste sisteme au un impact semnificativ asupra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și bazelor de date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care vor trebui modernizate, adaptate şi actualizate, în special privind infrastructura IT și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calită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iilor, procedurile și fluxurile de lucru și folosirea componentelor tehnice relevante. </w:t>
      </w:r>
    </w:p>
    <w:p w14:paraId="0000007E" w14:textId="78009948" w:rsidR="00C62A9B" w:rsidRPr="000D1EF3" w:rsidRDefault="00D11CD4">
      <w:pPr>
        <w:tabs>
          <w:tab w:val="left" w:pos="8364"/>
        </w:tabs>
        <w:spacing w:after="0" w:line="276" w:lineRule="auto"/>
        <w:ind w:left="-80"/>
        <w:jc w:val="both"/>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RO are în vedere implementarea cerin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 xml:space="preserve">elor cu impact financiar din Regulamentele europene privind procedurile de azil și </w:t>
      </w:r>
      <w:r w:rsidRPr="000D1EF3">
        <w:rPr>
          <w:rFonts w:asciiTheme="majorHAnsi" w:hAnsiTheme="majorHAnsi" w:cstheme="majorHAnsi"/>
          <w:sz w:val="24"/>
          <w:szCs w:val="24"/>
        </w:rPr>
        <w:t>screening</w:t>
      </w:r>
      <w:r w:rsidRPr="000D1EF3">
        <w:rPr>
          <w:rFonts w:asciiTheme="majorHAnsi" w:hAnsiTheme="majorHAnsi" w:cstheme="majorHAnsi"/>
          <w:sz w:val="24"/>
          <w:szCs w:val="24"/>
          <w:highlight w:val="white"/>
        </w:rPr>
        <w:t xml:space="preserve">,  în special măsuri privind </w:t>
      </w:r>
      <w:r w:rsidRPr="000D1EF3">
        <w:rPr>
          <w:rFonts w:asciiTheme="majorHAnsi" w:hAnsiTheme="majorHAnsi" w:cstheme="majorHAnsi"/>
          <w:b/>
          <w:sz w:val="24"/>
          <w:szCs w:val="24"/>
          <w:highlight w:val="white"/>
        </w:rPr>
        <w:t>procedura de azil la frontieră</w:t>
      </w:r>
      <w:r w:rsidRPr="000D1EF3">
        <w:rPr>
          <w:rFonts w:asciiTheme="majorHAnsi" w:hAnsiTheme="majorHAnsi" w:cstheme="majorHAnsi"/>
          <w:sz w:val="24"/>
          <w:szCs w:val="24"/>
          <w:highlight w:val="white"/>
        </w:rPr>
        <w:t xml:space="preserve"> pentru to</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 străinii depista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 în zona de frontieră în legătură cu o intrare ilegală pe teritoriul statelor membre.</w:t>
      </w:r>
    </w:p>
    <w:p w14:paraId="0000007F" w14:textId="77777777" w:rsidR="00C62A9B" w:rsidRPr="000D1EF3" w:rsidRDefault="00C62A9B">
      <w:pPr>
        <w:tabs>
          <w:tab w:val="left" w:pos="8364"/>
        </w:tabs>
        <w:spacing w:after="0" w:line="276" w:lineRule="auto"/>
        <w:ind w:left="-80"/>
        <w:jc w:val="both"/>
        <w:rPr>
          <w:rFonts w:asciiTheme="majorHAnsi" w:hAnsiTheme="majorHAnsi" w:cstheme="majorHAnsi"/>
          <w:sz w:val="24"/>
          <w:szCs w:val="24"/>
          <w:highlight w:val="white"/>
        </w:rPr>
      </w:pPr>
    </w:p>
    <w:p w14:paraId="00000080" w14:textId="6CDF7470" w:rsidR="00C62A9B" w:rsidRPr="000D1EF3" w:rsidRDefault="00D11CD4">
      <w:pPr>
        <w:tabs>
          <w:tab w:val="left" w:pos="8364"/>
        </w:tabs>
        <w:spacing w:after="0" w:line="276" w:lineRule="auto"/>
        <w:ind w:left="-80"/>
        <w:jc w:val="both"/>
        <w:rPr>
          <w:rFonts w:asciiTheme="majorHAnsi" w:hAnsiTheme="majorHAnsi" w:cstheme="majorHAnsi"/>
          <w:sz w:val="24"/>
          <w:szCs w:val="24"/>
          <w:highlight w:val="white"/>
        </w:rPr>
      </w:pPr>
      <w:r w:rsidRPr="000D1EF3">
        <w:rPr>
          <w:rFonts w:asciiTheme="majorHAnsi" w:hAnsiTheme="majorHAnsi" w:cstheme="majorHAnsi"/>
          <w:color w:val="434343"/>
          <w:sz w:val="24"/>
          <w:szCs w:val="24"/>
          <w:highlight w:val="white"/>
        </w:rPr>
        <w:t xml:space="preserve">Referitor la </w:t>
      </w:r>
      <w:r w:rsidRPr="000D1EF3">
        <w:rPr>
          <w:rFonts w:asciiTheme="majorHAnsi" w:hAnsiTheme="majorHAnsi" w:cstheme="majorHAnsi"/>
          <w:b/>
          <w:color w:val="434343"/>
          <w:sz w:val="24"/>
          <w:szCs w:val="24"/>
          <w:highlight w:val="white"/>
        </w:rPr>
        <w:t>politica în domeniul vizelor</w:t>
      </w:r>
      <w:r w:rsidRPr="000D1EF3">
        <w:rPr>
          <w:rFonts w:asciiTheme="majorHAnsi" w:hAnsiTheme="majorHAnsi" w:cstheme="majorHAnsi"/>
          <w:b/>
          <w:sz w:val="24"/>
          <w:szCs w:val="24"/>
          <w:highlight w:val="white"/>
        </w:rPr>
        <w:t>,</w:t>
      </w:r>
      <w:r w:rsidRPr="000D1EF3">
        <w:rPr>
          <w:rFonts w:asciiTheme="majorHAnsi" w:hAnsiTheme="majorHAnsi" w:cstheme="majorHAnsi"/>
          <w:sz w:val="24"/>
          <w:szCs w:val="24"/>
          <w:highlight w:val="white"/>
        </w:rPr>
        <w:t xml:space="preserve"> în vederea îndeplinirii </w:t>
      </w:r>
      <w:r w:rsidR="006C17F3" w:rsidRPr="000D1EF3">
        <w:rPr>
          <w:rFonts w:asciiTheme="majorHAnsi" w:hAnsiTheme="majorHAnsi" w:cstheme="majorHAnsi"/>
          <w:sz w:val="24"/>
          <w:szCs w:val="24"/>
          <w:highlight w:val="white"/>
        </w:rPr>
        <w:t>condi</w:t>
      </w:r>
      <w:r w:rsidR="00812FFF" w:rsidRPr="000D1EF3">
        <w:rPr>
          <w:rFonts w:asciiTheme="majorHAnsi" w:hAnsiTheme="majorHAnsi" w:cstheme="majorHAnsi"/>
          <w:sz w:val="24"/>
          <w:szCs w:val="24"/>
          <w:highlight w:val="white"/>
        </w:rPr>
        <w:t>ț</w:t>
      </w:r>
      <w:r w:rsidR="006C17F3" w:rsidRPr="000D1EF3">
        <w:rPr>
          <w:rFonts w:asciiTheme="majorHAnsi" w:hAnsiTheme="majorHAnsi" w:cstheme="majorHAnsi"/>
          <w:sz w:val="24"/>
          <w:szCs w:val="24"/>
          <w:highlight w:val="white"/>
        </w:rPr>
        <w:t>iilor</w:t>
      </w:r>
      <w:r w:rsidRPr="000D1EF3">
        <w:rPr>
          <w:rFonts w:asciiTheme="majorHAnsi" w:hAnsiTheme="majorHAnsi" w:cstheme="majorHAnsi"/>
          <w:sz w:val="24"/>
          <w:szCs w:val="24"/>
          <w:highlight w:val="white"/>
        </w:rPr>
        <w:t xml:space="preserve"> de eliberare de vize uniforme Schengen </w:t>
      </w:r>
      <w:r w:rsidR="006C17F3" w:rsidRPr="000D1EF3">
        <w:rPr>
          <w:rFonts w:asciiTheme="majorHAnsi" w:hAnsiTheme="majorHAnsi" w:cstheme="majorHAnsi"/>
          <w:sz w:val="24"/>
          <w:szCs w:val="24"/>
          <w:highlight w:val="white"/>
        </w:rPr>
        <w:t>și</w:t>
      </w:r>
      <w:r w:rsidRPr="000D1EF3">
        <w:rPr>
          <w:rFonts w:asciiTheme="majorHAnsi" w:hAnsiTheme="majorHAnsi" w:cstheme="majorHAnsi"/>
          <w:sz w:val="24"/>
          <w:szCs w:val="24"/>
          <w:highlight w:val="white"/>
        </w:rPr>
        <w:t xml:space="preserve"> a cooperării cu statele membre Schengen, cât </w:t>
      </w:r>
      <w:r w:rsidR="006C17F3" w:rsidRPr="000D1EF3">
        <w:rPr>
          <w:rFonts w:asciiTheme="majorHAnsi" w:hAnsiTheme="majorHAnsi" w:cstheme="majorHAnsi"/>
          <w:sz w:val="24"/>
          <w:szCs w:val="24"/>
          <w:highlight w:val="white"/>
        </w:rPr>
        <w:t>și</w:t>
      </w:r>
      <w:r w:rsidRPr="000D1EF3">
        <w:rPr>
          <w:rFonts w:asciiTheme="majorHAnsi" w:hAnsiTheme="majorHAnsi" w:cstheme="majorHAnsi"/>
          <w:sz w:val="24"/>
          <w:szCs w:val="24"/>
          <w:highlight w:val="white"/>
        </w:rPr>
        <w:t xml:space="preserve"> în scopul punerii în aplicare a tuturor prevederilor Codului Comunitar de Vize și Regulamentului VIS, la nivelul Centrului </w:t>
      </w:r>
      <w:r w:rsidR="006C17F3" w:rsidRPr="000D1EF3">
        <w:rPr>
          <w:rFonts w:asciiTheme="majorHAnsi" w:hAnsiTheme="majorHAnsi" w:cstheme="majorHAnsi"/>
          <w:sz w:val="24"/>
          <w:szCs w:val="24"/>
          <w:highlight w:val="white"/>
        </w:rPr>
        <w:t>Na</w:t>
      </w:r>
      <w:r w:rsidR="00812FFF" w:rsidRPr="000D1EF3">
        <w:rPr>
          <w:rFonts w:asciiTheme="majorHAnsi" w:hAnsiTheme="majorHAnsi" w:cstheme="majorHAnsi"/>
          <w:sz w:val="24"/>
          <w:szCs w:val="24"/>
          <w:highlight w:val="white"/>
        </w:rPr>
        <w:t>ț</w:t>
      </w:r>
      <w:r w:rsidR="006C17F3" w:rsidRPr="000D1EF3">
        <w:rPr>
          <w:rFonts w:asciiTheme="majorHAnsi" w:hAnsiTheme="majorHAnsi" w:cstheme="majorHAnsi"/>
          <w:sz w:val="24"/>
          <w:szCs w:val="24"/>
          <w:highlight w:val="white"/>
        </w:rPr>
        <w:t>ional</w:t>
      </w:r>
      <w:r w:rsidRPr="000D1EF3">
        <w:rPr>
          <w:rFonts w:asciiTheme="majorHAnsi" w:hAnsiTheme="majorHAnsi" w:cstheme="majorHAnsi"/>
          <w:sz w:val="24"/>
          <w:szCs w:val="24"/>
          <w:highlight w:val="white"/>
        </w:rPr>
        <w:t xml:space="preserve"> de Vize din cadrul Departamentului Consular al Ministerului Afacerilor Externe este opera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 xml:space="preserve">ionalizat </w:t>
      </w:r>
      <w:r w:rsidRPr="000D1EF3">
        <w:rPr>
          <w:rFonts w:asciiTheme="majorHAnsi" w:hAnsiTheme="majorHAnsi" w:cstheme="majorHAnsi"/>
          <w:b/>
          <w:sz w:val="24"/>
          <w:szCs w:val="24"/>
          <w:highlight w:val="white"/>
        </w:rPr>
        <w:t xml:space="preserve">Sistemul </w:t>
      </w:r>
      <w:r w:rsidR="006C17F3" w:rsidRPr="000D1EF3">
        <w:rPr>
          <w:rFonts w:asciiTheme="majorHAnsi" w:hAnsiTheme="majorHAnsi" w:cstheme="majorHAnsi"/>
          <w:b/>
          <w:sz w:val="24"/>
          <w:szCs w:val="24"/>
          <w:highlight w:val="white"/>
        </w:rPr>
        <w:t>Na</w:t>
      </w:r>
      <w:r w:rsidR="00812FFF" w:rsidRPr="000D1EF3">
        <w:rPr>
          <w:rFonts w:asciiTheme="majorHAnsi" w:hAnsiTheme="majorHAnsi" w:cstheme="majorHAnsi"/>
          <w:b/>
          <w:sz w:val="24"/>
          <w:szCs w:val="24"/>
          <w:highlight w:val="white"/>
        </w:rPr>
        <w:t>ț</w:t>
      </w:r>
      <w:r w:rsidR="006C17F3" w:rsidRPr="000D1EF3">
        <w:rPr>
          <w:rFonts w:asciiTheme="majorHAnsi" w:hAnsiTheme="majorHAnsi" w:cstheme="majorHAnsi"/>
          <w:b/>
          <w:sz w:val="24"/>
          <w:szCs w:val="24"/>
          <w:highlight w:val="white"/>
        </w:rPr>
        <w:t>ional</w:t>
      </w:r>
      <w:r w:rsidRPr="000D1EF3">
        <w:rPr>
          <w:rFonts w:asciiTheme="majorHAnsi" w:hAnsiTheme="majorHAnsi" w:cstheme="majorHAnsi"/>
          <w:b/>
          <w:sz w:val="24"/>
          <w:szCs w:val="24"/>
          <w:highlight w:val="white"/>
        </w:rPr>
        <w:t xml:space="preserve"> de </w:t>
      </w:r>
      <w:r w:rsidR="006C17F3" w:rsidRPr="000D1EF3">
        <w:rPr>
          <w:rFonts w:asciiTheme="majorHAnsi" w:hAnsiTheme="majorHAnsi" w:cstheme="majorHAnsi"/>
          <w:b/>
          <w:sz w:val="24"/>
          <w:szCs w:val="24"/>
          <w:highlight w:val="white"/>
        </w:rPr>
        <w:t>Informa</w:t>
      </w:r>
      <w:r w:rsidR="00812FFF" w:rsidRPr="000D1EF3">
        <w:rPr>
          <w:rFonts w:asciiTheme="majorHAnsi" w:hAnsiTheme="majorHAnsi" w:cstheme="majorHAnsi"/>
          <w:b/>
          <w:sz w:val="24"/>
          <w:szCs w:val="24"/>
          <w:highlight w:val="white"/>
        </w:rPr>
        <w:t>ț</w:t>
      </w:r>
      <w:r w:rsidR="006C17F3" w:rsidRPr="000D1EF3">
        <w:rPr>
          <w:rFonts w:asciiTheme="majorHAnsi" w:hAnsiTheme="majorHAnsi" w:cstheme="majorHAnsi"/>
          <w:b/>
          <w:sz w:val="24"/>
          <w:szCs w:val="24"/>
          <w:highlight w:val="white"/>
        </w:rPr>
        <w:t>ii</w:t>
      </w:r>
      <w:r w:rsidRPr="000D1EF3">
        <w:rPr>
          <w:rFonts w:asciiTheme="majorHAnsi" w:hAnsiTheme="majorHAnsi" w:cstheme="majorHAnsi"/>
          <w:b/>
          <w:sz w:val="24"/>
          <w:szCs w:val="24"/>
          <w:highlight w:val="white"/>
        </w:rPr>
        <w:t xml:space="preserve"> privind Vizele</w:t>
      </w:r>
      <w:r w:rsidRPr="000D1EF3">
        <w:rPr>
          <w:rFonts w:asciiTheme="majorHAnsi" w:hAnsiTheme="majorHAnsi" w:cstheme="majorHAnsi"/>
          <w:sz w:val="24"/>
          <w:szCs w:val="24"/>
          <w:highlight w:val="white"/>
        </w:rPr>
        <w:t xml:space="preserve"> (SNIV). SNIV este modernizat și actualizat cu finan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 xml:space="preserve">are din FSI Frontiere Vize 2014-2020 și este compatibil cu sistemul european central de </w:t>
      </w:r>
      <w:r w:rsidR="006C17F3" w:rsidRPr="000D1EF3">
        <w:rPr>
          <w:rFonts w:asciiTheme="majorHAnsi" w:hAnsiTheme="majorHAnsi" w:cstheme="majorHAnsi"/>
          <w:sz w:val="24"/>
          <w:szCs w:val="24"/>
          <w:highlight w:val="white"/>
        </w:rPr>
        <w:t>informa</w:t>
      </w:r>
      <w:r w:rsidR="00812FFF" w:rsidRPr="000D1EF3">
        <w:rPr>
          <w:rFonts w:asciiTheme="majorHAnsi" w:hAnsiTheme="majorHAnsi" w:cstheme="majorHAnsi"/>
          <w:sz w:val="24"/>
          <w:szCs w:val="24"/>
          <w:highlight w:val="white"/>
        </w:rPr>
        <w:t>ț</w:t>
      </w:r>
      <w:r w:rsidR="006C17F3" w:rsidRPr="000D1EF3">
        <w:rPr>
          <w:rFonts w:asciiTheme="majorHAnsi" w:hAnsiTheme="majorHAnsi" w:cstheme="majorHAnsi"/>
          <w:sz w:val="24"/>
          <w:szCs w:val="24"/>
          <w:highlight w:val="white"/>
        </w:rPr>
        <w:t>ii</w:t>
      </w:r>
      <w:r w:rsidRPr="000D1EF3">
        <w:rPr>
          <w:rFonts w:asciiTheme="majorHAnsi" w:hAnsiTheme="majorHAnsi" w:cstheme="majorHAnsi"/>
          <w:sz w:val="24"/>
          <w:szCs w:val="24"/>
          <w:highlight w:val="white"/>
        </w:rPr>
        <w:t xml:space="preserve"> privind vizele (C-VIS), inclusiv prin asigurarea conectării și compatibilită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 xml:space="preserve">ii în regim </w:t>
      </w:r>
      <w:proofErr w:type="spellStart"/>
      <w:r w:rsidRPr="000D1EF3">
        <w:rPr>
          <w:rFonts w:asciiTheme="majorHAnsi" w:hAnsiTheme="majorHAnsi" w:cstheme="majorHAnsi"/>
          <w:sz w:val="24"/>
          <w:szCs w:val="24"/>
          <w:highlight w:val="white"/>
        </w:rPr>
        <w:t>read-only</w:t>
      </w:r>
      <w:proofErr w:type="spellEnd"/>
      <w:r w:rsidRPr="000D1EF3">
        <w:rPr>
          <w:rFonts w:asciiTheme="majorHAnsi" w:hAnsiTheme="majorHAnsi" w:cstheme="majorHAnsi"/>
          <w:sz w:val="24"/>
          <w:szCs w:val="24"/>
          <w:highlight w:val="white"/>
        </w:rPr>
        <w:t xml:space="preserve"> (VIS pasiv) cu C.VIS și cu restul statelor membre, în contextul aplicării Deciziei Consiliului nr. 1908/2017.</w:t>
      </w:r>
    </w:p>
    <w:p w14:paraId="00000081" w14:textId="6A7F9209" w:rsidR="00C62A9B" w:rsidRPr="000D1EF3" w:rsidRDefault="00D11CD4">
      <w:pPr>
        <w:tabs>
          <w:tab w:val="left" w:pos="8364"/>
        </w:tabs>
        <w:spacing w:after="0" w:line="276" w:lineRule="auto"/>
        <w:ind w:left="-80"/>
        <w:jc w:val="both"/>
        <w:rPr>
          <w:rFonts w:asciiTheme="majorHAnsi" w:hAnsiTheme="majorHAnsi" w:cstheme="majorHAnsi"/>
          <w:sz w:val="24"/>
          <w:szCs w:val="24"/>
        </w:rPr>
      </w:pPr>
      <w:r w:rsidRPr="000D1EF3">
        <w:rPr>
          <w:rFonts w:asciiTheme="majorHAnsi" w:hAnsiTheme="majorHAnsi" w:cstheme="majorHAnsi"/>
          <w:sz w:val="24"/>
          <w:szCs w:val="24"/>
        </w:rPr>
        <w:t>SNIV este sistemul prin care se derulează întreg procesul de preluare/eliberare a vizelor române, iar asigurarea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stabilită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sistemului de a face fa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tuturor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și rigorilor pe care le va implica aderarea RO la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iul Schengen, reprezintă obiectivul major al RO, în special prin modernizarea infrastructurii IT a structurilor cu drept de utilizarea și prin măsuri pentru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unui standard optim și de siguran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al modului de desfășurare 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în materie de vize și asigurării interoperabilită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sistemelor SNIV.</w:t>
      </w:r>
    </w:p>
    <w:p w14:paraId="00000082" w14:textId="0DA955DE" w:rsidR="00C62A9B" w:rsidRPr="000D1EF3" w:rsidRDefault="00D11CD4">
      <w:pPr>
        <w:spacing w:before="240" w:after="24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Pentru </w:t>
      </w:r>
      <w:r w:rsidRPr="000D1EF3">
        <w:rPr>
          <w:rFonts w:asciiTheme="majorHAnsi" w:hAnsiTheme="majorHAnsi" w:cstheme="majorHAnsi"/>
          <w:b/>
          <w:sz w:val="24"/>
          <w:szCs w:val="24"/>
        </w:rPr>
        <w:t>digitalizarea procedurilor de solicitare și procesare a vizelor</w:t>
      </w:r>
      <w:r w:rsidRPr="000D1EF3">
        <w:rPr>
          <w:rFonts w:asciiTheme="majorHAnsi" w:hAnsiTheme="majorHAnsi" w:cstheme="majorHAnsi"/>
          <w:sz w:val="24"/>
          <w:szCs w:val="24"/>
        </w:rPr>
        <w:t>, RO a dezvoltat și utilizează E-VIZA, cu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din fonduri europene structurale și de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E-VIZA este portalul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care facilitează procedurile de pre-aplicare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post-aplicare ale doritorilor de viză pentru România și reprezintă </w:t>
      </w:r>
      <w:r w:rsidR="006C17F3" w:rsidRPr="000D1EF3">
        <w:rPr>
          <w:rFonts w:asciiTheme="majorHAnsi" w:hAnsiTheme="majorHAnsi" w:cstheme="majorHAnsi"/>
          <w:sz w:val="24"/>
          <w:szCs w:val="24"/>
        </w:rPr>
        <w:t>interfa</w:t>
      </w:r>
      <w:r w:rsidR="00812FFF" w:rsidRPr="000D1EF3">
        <w:rPr>
          <w:rFonts w:asciiTheme="majorHAnsi" w:hAnsiTheme="majorHAnsi" w:cstheme="majorHAnsi"/>
          <w:sz w:val="24"/>
          <w:szCs w:val="24"/>
        </w:rPr>
        <w:t>ț</w:t>
      </w:r>
      <w:r w:rsidR="006C17F3" w:rsidRPr="000D1EF3">
        <w:rPr>
          <w:rFonts w:asciiTheme="majorHAnsi" w:hAnsiTheme="majorHAnsi" w:cstheme="majorHAnsi"/>
          <w:sz w:val="24"/>
          <w:szCs w:val="24"/>
        </w:rPr>
        <w:t>a</w:t>
      </w:r>
      <w:r w:rsidRPr="000D1EF3">
        <w:rPr>
          <w:rFonts w:asciiTheme="majorHAnsi" w:hAnsiTheme="majorHAnsi" w:cstheme="majorHAnsi"/>
          <w:sz w:val="24"/>
          <w:szCs w:val="24"/>
        </w:rPr>
        <w:t xml:space="preserve"> electronică între SNIV </w:t>
      </w:r>
      <w:r w:rsidR="006C17F3" w:rsidRPr="000D1EF3">
        <w:rPr>
          <w:rFonts w:asciiTheme="majorHAnsi" w:hAnsiTheme="majorHAnsi" w:cstheme="majorHAnsi"/>
          <w:sz w:val="24"/>
          <w:szCs w:val="24"/>
        </w:rPr>
        <w:t>și</w:t>
      </w:r>
      <w:r w:rsidRPr="000D1EF3">
        <w:rPr>
          <w:rFonts w:asciiTheme="majorHAnsi" w:hAnsiTheme="majorHAnsi" w:cstheme="majorHAnsi"/>
          <w:sz w:val="24"/>
          <w:szCs w:val="24"/>
        </w:rPr>
        <w:t xml:space="preserve"> utilizatorii aplican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RO are în vedere asigurarea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și modernizarea sistemului E-VIZA, în contextul aderării la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iul Schengen.</w:t>
      </w:r>
    </w:p>
    <w:p w14:paraId="00000083" w14:textId="084C61E8"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lastRenderedPageBreak/>
        <w:t xml:space="preserve">În materie de </w:t>
      </w:r>
      <w:r w:rsidRPr="000D1EF3">
        <w:rPr>
          <w:rFonts w:asciiTheme="majorHAnsi" w:hAnsiTheme="majorHAnsi" w:cstheme="majorHAnsi"/>
          <w:b/>
          <w:sz w:val="24"/>
          <w:szCs w:val="24"/>
        </w:rPr>
        <w:t>cooperare consulară</w:t>
      </w:r>
      <w:r w:rsidRPr="000D1EF3">
        <w:rPr>
          <w:rFonts w:asciiTheme="majorHAnsi" w:hAnsiTheme="majorHAnsi" w:cstheme="majorHAnsi"/>
          <w:sz w:val="24"/>
          <w:szCs w:val="24"/>
        </w:rPr>
        <w:t>, principala provocare constă în dezvoltarea unor practici comune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la nivelul statelor membre pentru asigurarea unor servicii de calitate pentru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de viză. În acest sens, este necesară desfășurarea de reuniuni consulare regionale, la care să participe inclusiv personal consular din </w:t>
      </w:r>
      <w:r w:rsidR="00812FFF" w:rsidRPr="000D1EF3">
        <w:rPr>
          <w:rFonts w:asciiTheme="majorHAnsi" w:hAnsiTheme="majorHAnsi" w:cstheme="majorHAnsi"/>
          <w:sz w:val="24"/>
          <w:szCs w:val="24"/>
        </w:rPr>
        <w:t>ț</w:t>
      </w:r>
      <w:r w:rsidR="006C17F3" w:rsidRPr="000D1EF3">
        <w:rPr>
          <w:rFonts w:asciiTheme="majorHAnsi" w:hAnsiTheme="majorHAnsi" w:cstheme="majorHAnsi"/>
          <w:sz w:val="24"/>
          <w:szCs w:val="24"/>
        </w:rPr>
        <w:t>ările</w:t>
      </w:r>
      <w:r w:rsidRPr="000D1EF3">
        <w:rPr>
          <w:rFonts w:asciiTheme="majorHAnsi" w:hAnsiTheme="majorHAnsi" w:cstheme="majorHAnsi"/>
          <w:sz w:val="24"/>
          <w:szCs w:val="24"/>
        </w:rPr>
        <w:t xml:space="preserv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 din zonă, precum și organizarea de programe permanente de </w:t>
      </w:r>
      <w:r w:rsidRPr="000D1EF3">
        <w:rPr>
          <w:rFonts w:asciiTheme="majorHAnsi" w:hAnsiTheme="majorHAnsi" w:cstheme="majorHAnsi"/>
          <w:b/>
          <w:sz w:val="24"/>
          <w:szCs w:val="24"/>
        </w:rPr>
        <w:t>instruire</w:t>
      </w:r>
      <w:r w:rsidRPr="000D1EF3">
        <w:rPr>
          <w:rFonts w:asciiTheme="majorHAnsi" w:hAnsiTheme="majorHAnsi" w:cstheme="majorHAnsi"/>
          <w:sz w:val="24"/>
          <w:szCs w:val="24"/>
        </w:rPr>
        <w:t xml:space="preserve"> a personalului consular. </w:t>
      </w:r>
    </w:p>
    <w:p w14:paraId="00000084" w14:textId="4C1F71A8"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vederea furnizării de servicii eficace și adaptate nevoilor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viză, în conformitate cu standardele, regulamentele și practicile uniforme ale UE, precum și asigurarea unui mediu de lucru sigur și eficient pentru personalul consular și pentru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vize este necesară</w:t>
      </w:r>
      <w:r w:rsidRPr="000D1EF3">
        <w:rPr>
          <w:rFonts w:asciiTheme="majorHAnsi" w:hAnsiTheme="majorHAnsi" w:cstheme="majorHAnsi"/>
          <w:b/>
          <w:sz w:val="24"/>
          <w:szCs w:val="24"/>
        </w:rPr>
        <w:t xml:space="preserve"> amenajarea/ reabilitarea oficiilor consulare</w:t>
      </w:r>
      <w:r w:rsidRPr="000D1EF3">
        <w:rPr>
          <w:rFonts w:asciiTheme="majorHAnsi" w:hAnsiTheme="majorHAnsi" w:cstheme="majorHAnsi"/>
          <w:sz w:val="24"/>
          <w:szCs w:val="24"/>
        </w:rPr>
        <w:t>, precum și upgrade-</w:t>
      </w:r>
      <w:proofErr w:type="spellStart"/>
      <w:r w:rsidRPr="000D1EF3">
        <w:rPr>
          <w:rFonts w:asciiTheme="majorHAnsi" w:hAnsiTheme="majorHAnsi" w:cstheme="majorHAnsi"/>
          <w:sz w:val="24"/>
          <w:szCs w:val="24"/>
        </w:rPr>
        <w:t>ul</w:t>
      </w:r>
      <w:proofErr w:type="spellEnd"/>
      <w:r w:rsidRPr="000D1EF3">
        <w:rPr>
          <w:rFonts w:asciiTheme="majorHAnsi" w:hAnsiTheme="majorHAnsi" w:cstheme="majorHAnsi"/>
          <w:sz w:val="24"/>
          <w:szCs w:val="24"/>
        </w:rPr>
        <w:t xml:space="preserve"> măsurilor de securitate în consulate.   </w:t>
      </w:r>
    </w:p>
    <w:p w14:paraId="00000085" w14:textId="670AA32A"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Până în prezent, RO a asigurat implementarea tuturor </w:t>
      </w:r>
      <w:r w:rsidRPr="000D1EF3">
        <w:rPr>
          <w:rFonts w:asciiTheme="majorHAnsi" w:hAnsiTheme="majorHAnsi" w:cstheme="majorHAnsi"/>
          <w:b/>
          <w:sz w:val="24"/>
          <w:szCs w:val="24"/>
        </w:rPr>
        <w:t>recomandărilor</w:t>
      </w:r>
      <w:r w:rsidRPr="000D1EF3">
        <w:rPr>
          <w:rFonts w:asciiTheme="majorHAnsi" w:hAnsiTheme="majorHAnsi" w:cstheme="majorHAnsi"/>
          <w:sz w:val="24"/>
          <w:szCs w:val="24"/>
        </w:rPr>
        <w:t xml:space="preserve"> cu impact financiar formulate în urma evaluării </w:t>
      </w:r>
      <w:r w:rsidR="006C17F3" w:rsidRPr="000D1EF3">
        <w:rPr>
          <w:rFonts w:asciiTheme="majorHAnsi" w:hAnsiTheme="majorHAnsi" w:cstheme="majorHAnsi"/>
          <w:sz w:val="24"/>
          <w:szCs w:val="24"/>
        </w:rPr>
        <w:t>vulnerabilită</w:t>
      </w:r>
      <w:r w:rsidR="00812FFF" w:rsidRPr="000D1EF3">
        <w:rPr>
          <w:rFonts w:asciiTheme="majorHAnsi" w:hAnsiTheme="majorHAnsi" w:cstheme="majorHAnsi"/>
          <w:sz w:val="24"/>
          <w:szCs w:val="24"/>
        </w:rPr>
        <w:t>ț</w:t>
      </w:r>
      <w:r w:rsidR="006C17F3" w:rsidRPr="000D1EF3">
        <w:rPr>
          <w:rFonts w:asciiTheme="majorHAnsi" w:hAnsiTheme="majorHAnsi" w:cstheme="majorHAnsi"/>
          <w:sz w:val="24"/>
          <w:szCs w:val="24"/>
        </w:rPr>
        <w:t>ilor</w:t>
      </w:r>
      <w:r w:rsidRPr="000D1EF3">
        <w:rPr>
          <w:rFonts w:asciiTheme="majorHAnsi" w:hAnsiTheme="majorHAnsi" w:cstheme="majorHAnsi"/>
          <w:sz w:val="24"/>
          <w:szCs w:val="24"/>
        </w:rPr>
        <w:t xml:space="preserve"> și evaluării Schengen în domeniul managementului frontierelor și politicii de vize. RO va asigura prin PN resursele financiare necesare pentru implementarea unor eventuale recomandări viitoare formulate în cadrul celor două mecanisme de evaluare.</w:t>
      </w:r>
    </w:p>
    <w:p w14:paraId="00000086" w14:textId="6C4FFC4F"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domeniile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ale IMFV, principala provocare de politică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este dată de </w:t>
      </w:r>
      <w:r w:rsidRPr="000D1EF3">
        <w:rPr>
          <w:rFonts w:asciiTheme="majorHAnsi" w:hAnsiTheme="majorHAnsi" w:cstheme="majorHAnsi"/>
          <w:b/>
          <w:sz w:val="24"/>
          <w:szCs w:val="24"/>
        </w:rPr>
        <w:t>aderarea RO la spa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iul Schengen</w:t>
      </w:r>
      <w:r w:rsidRPr="000D1EF3">
        <w:rPr>
          <w:rFonts w:asciiTheme="majorHAnsi" w:hAnsiTheme="majorHAnsi" w:cstheme="majorHAnsi"/>
          <w:sz w:val="24"/>
          <w:szCs w:val="24"/>
        </w:rPr>
        <w:t xml:space="preserve"> și măsurile care trebuie luate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pentru aplicarea Titlului III a Codului Frontierelor Schengen.</w:t>
      </w:r>
    </w:p>
    <w:p w14:paraId="00000087" w14:textId="3BAD2DE0"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acest moment, nu au fost identificate neajunsuri sau lacune în </w:t>
      </w:r>
      <w:r w:rsidRPr="000D1EF3">
        <w:rPr>
          <w:rFonts w:asciiTheme="majorHAnsi" w:hAnsiTheme="majorHAnsi" w:cstheme="majorHAnsi"/>
          <w:b/>
          <w:sz w:val="24"/>
          <w:szCs w:val="24"/>
        </w:rPr>
        <w:t>implementarea acquis-ul</w:t>
      </w:r>
      <w:r w:rsidR="006C17F3" w:rsidRPr="000D1EF3">
        <w:rPr>
          <w:rFonts w:asciiTheme="majorHAnsi" w:hAnsiTheme="majorHAnsi" w:cstheme="majorHAnsi"/>
          <w:b/>
          <w:sz w:val="24"/>
          <w:szCs w:val="24"/>
        </w:rPr>
        <w:t>ui</w:t>
      </w:r>
      <w:r w:rsidRPr="000D1EF3">
        <w:rPr>
          <w:rFonts w:asciiTheme="majorHAnsi" w:hAnsiTheme="majorHAnsi" w:cstheme="majorHAnsi"/>
          <w:b/>
          <w:sz w:val="24"/>
          <w:szCs w:val="24"/>
        </w:rPr>
        <w:t xml:space="preserve"> UE</w:t>
      </w:r>
      <w:r w:rsidRPr="000D1EF3">
        <w:rPr>
          <w:rFonts w:asciiTheme="majorHAnsi" w:hAnsiTheme="majorHAnsi" w:cstheme="majorHAnsi"/>
          <w:sz w:val="24"/>
          <w:szCs w:val="24"/>
        </w:rPr>
        <w:t xml:space="preserve"> relevant domeniului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al IMFV, dar RO</w:t>
      </w:r>
      <w:r w:rsidR="006C17F3" w:rsidRPr="000D1EF3">
        <w:rPr>
          <w:rFonts w:asciiTheme="majorHAnsi" w:hAnsiTheme="majorHAnsi" w:cstheme="majorHAnsi"/>
          <w:sz w:val="24"/>
          <w:szCs w:val="24"/>
        </w:rPr>
        <w:t>,</w:t>
      </w:r>
      <w:r w:rsidRPr="000D1EF3">
        <w:rPr>
          <w:rFonts w:asciiTheme="majorHAnsi" w:hAnsiTheme="majorHAnsi" w:cstheme="majorHAnsi"/>
          <w:sz w:val="24"/>
          <w:szCs w:val="24"/>
        </w:rPr>
        <w:t xml:space="preserve"> prin IMFV</w:t>
      </w:r>
      <w:r w:rsidR="006C17F3" w:rsidRPr="000D1EF3">
        <w:rPr>
          <w:rFonts w:asciiTheme="majorHAnsi" w:hAnsiTheme="majorHAnsi" w:cstheme="majorHAnsi"/>
          <w:sz w:val="24"/>
          <w:szCs w:val="24"/>
        </w:rPr>
        <w:t>,</w:t>
      </w:r>
      <w:r w:rsidRPr="000D1EF3">
        <w:rPr>
          <w:rFonts w:asciiTheme="majorHAnsi" w:hAnsiTheme="majorHAnsi" w:cstheme="majorHAnsi"/>
          <w:sz w:val="24"/>
          <w:szCs w:val="24"/>
        </w:rPr>
        <w:t xml:space="preserve"> se va axa pe măsuri pentru a răspunde la aceste provocări, dacă apar în viitor. </w:t>
      </w:r>
    </w:p>
    <w:p w14:paraId="00000088" w14:textId="776ADDC3"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la obiectivele și priorită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UE în materie de climă și mediu se va asigura, când e posibil, prin includerea în documenta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a criteriilor privind </w:t>
      </w:r>
      <w:r w:rsidRPr="000D1EF3">
        <w:rPr>
          <w:rFonts w:asciiTheme="majorHAnsi" w:hAnsiTheme="majorHAnsi" w:cstheme="majorHAnsi"/>
          <w:b/>
          <w:sz w:val="24"/>
          <w:szCs w:val="24"/>
        </w:rPr>
        <w:t>achizi</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iile publice ecologice</w:t>
      </w:r>
      <w:r w:rsidRPr="000D1EF3">
        <w:rPr>
          <w:rFonts w:asciiTheme="majorHAnsi" w:hAnsiTheme="majorHAnsi" w:cstheme="majorHAnsi"/>
          <w:sz w:val="24"/>
          <w:szCs w:val="24"/>
        </w:rPr>
        <w:t>, în special prin facilitarea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în construc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performante energetic,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de echipamente cu impact energetic redus și de vehicule electrice, hibride sau cu un nivel scăzut de emisii.</w:t>
      </w:r>
    </w:p>
    <w:p w14:paraId="00000089" w14:textId="74CF6E8A"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Strategia RO privind implementarea PN include măsuri de facilitare a</w:t>
      </w:r>
      <w:r w:rsidRPr="000D1EF3">
        <w:rPr>
          <w:rFonts w:asciiTheme="majorHAnsi" w:hAnsiTheme="majorHAnsi" w:cstheme="majorHAnsi"/>
          <w:b/>
          <w:sz w:val="24"/>
          <w:szCs w:val="24"/>
        </w:rPr>
        <w:t xml:space="preserve"> sinergiilor și complementarită</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ilor </w:t>
      </w:r>
      <w:r w:rsidRPr="000D1EF3">
        <w:rPr>
          <w:rFonts w:asciiTheme="majorHAnsi" w:hAnsiTheme="majorHAnsi" w:cstheme="majorHAnsi"/>
          <w:sz w:val="24"/>
          <w:szCs w:val="24"/>
        </w:rPr>
        <w:t>dintre IMFV și celelalte programe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în special prin sus</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maritime cu scopuri multiple, precum și prin completarea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ărilor din IMFV cu interven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din FEDR, în special prin sprijinirea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în domeniul mobilită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gestionării trecerii la frontieră și gestionării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și din FSE+, care ar putea sus</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vizează dezvoltarea 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digitale ale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iștilor de frontieră.</w:t>
      </w:r>
    </w:p>
    <w:p w14:paraId="0000008A" w14:textId="3AE01826"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Pentru a consolida complementaritatea, precum și pentru a evita suprapunerea eforturilor bugetare, RO are în vedere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area unor </w:t>
      </w:r>
      <w:r w:rsidRPr="000D1EF3">
        <w:rPr>
          <w:rFonts w:asciiTheme="majorHAnsi" w:hAnsiTheme="majorHAnsi" w:cstheme="majorHAnsi"/>
          <w:b/>
          <w:sz w:val="24"/>
          <w:szCs w:val="24"/>
        </w:rPr>
        <w:t>echipamentele și sistemele TIC multiscop</w:t>
      </w:r>
      <w:r w:rsidRPr="000D1EF3">
        <w:rPr>
          <w:rFonts w:asciiTheme="majorHAnsi" w:hAnsiTheme="majorHAnsi" w:cstheme="majorHAnsi"/>
          <w:sz w:val="24"/>
          <w:szCs w:val="24"/>
        </w:rPr>
        <w:t>, care să poată fi utilizate în mod secundar și temporar pentru îndeplinirea obiectivelor Fondului pentru securitate internă și ale Fondului pentru azil,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și integrare. </w:t>
      </w:r>
    </w:p>
    <w:p w14:paraId="0000008B" w14:textId="77777777" w:rsidR="00C62A9B" w:rsidRPr="000D1EF3" w:rsidRDefault="00D11CD4" w:rsidP="00E43440">
      <w:pPr>
        <w:pStyle w:val="Heading1"/>
      </w:pPr>
      <w:bookmarkStart w:id="12" w:name="_Toc78795659"/>
      <w:r w:rsidRPr="000D1EF3">
        <w:t>2.Obiective specifice</w:t>
      </w:r>
      <w:bookmarkEnd w:id="12"/>
      <w:r w:rsidRPr="000D1EF3">
        <w:t xml:space="preserve"> </w:t>
      </w:r>
    </w:p>
    <w:p w14:paraId="0000008C" w14:textId="77777777" w:rsidR="00C62A9B" w:rsidRPr="000D1EF3" w:rsidRDefault="00D11CD4">
      <w:pPr>
        <w:rPr>
          <w:rFonts w:asciiTheme="majorHAnsi" w:hAnsiTheme="majorHAnsi" w:cstheme="majorHAnsi"/>
          <w:i/>
          <w:sz w:val="24"/>
          <w:szCs w:val="24"/>
        </w:rPr>
      </w:pPr>
      <w:r w:rsidRPr="000D1EF3">
        <w:rPr>
          <w:rFonts w:asciiTheme="majorHAnsi" w:hAnsiTheme="majorHAnsi" w:cstheme="majorHAnsi"/>
          <w:i/>
          <w:sz w:val="24"/>
          <w:szCs w:val="24"/>
        </w:rPr>
        <w:t xml:space="preserve"> Trimitere: articolul 22 alineatele (2) și (4) din RDC</w:t>
      </w:r>
    </w:p>
    <w:p w14:paraId="0000008D" w14:textId="314B4017" w:rsidR="00C62A9B" w:rsidRPr="00E43440" w:rsidRDefault="00D11CD4" w:rsidP="00E43440">
      <w:pPr>
        <w:pStyle w:val="Heading1"/>
      </w:pPr>
      <w:bookmarkStart w:id="13" w:name="_Toc78795660"/>
      <w:r w:rsidRPr="00E43440">
        <w:lastRenderedPageBreak/>
        <w:t>2.1. OS1 Sprijinirea unei gestionări europene integrate eficace a frontierelor externe, pusă în aplicare de poli</w:t>
      </w:r>
      <w:r w:rsidR="00812FFF" w:rsidRPr="00E43440">
        <w:t>ț</w:t>
      </w:r>
      <w:r w:rsidRPr="00E43440">
        <w:t>ia de frontieră și garda de coastă la nivel european ca responsabilitate comună a Agen</w:t>
      </w:r>
      <w:r w:rsidR="00812FFF" w:rsidRPr="00E43440">
        <w:t>ț</w:t>
      </w:r>
      <w:r w:rsidRPr="00E43440">
        <w:t>iei Europene pentru Poli</w:t>
      </w:r>
      <w:r w:rsidR="00812FFF" w:rsidRPr="00E43440">
        <w:t>ț</w:t>
      </w:r>
      <w:r w:rsidRPr="00E43440">
        <w:t>ia de Frontieră și Garda de Coastă și a autorită</w:t>
      </w:r>
      <w:r w:rsidR="00812FFF" w:rsidRPr="00E43440">
        <w:t>ț</w:t>
      </w:r>
      <w:r w:rsidRPr="00E43440">
        <w:t>ilor na</w:t>
      </w:r>
      <w:r w:rsidR="00812FFF" w:rsidRPr="00E43440">
        <w:t>ț</w:t>
      </w:r>
      <w:r w:rsidRPr="00E43440">
        <w:t>ionale responsabile cu gestionarea frontierelor, în scopul facilitării trecerii legale a frontierei, al prevenirii și al depistării imigra</w:t>
      </w:r>
      <w:r w:rsidR="00812FFF" w:rsidRPr="00E43440">
        <w:t>ț</w:t>
      </w:r>
      <w:r w:rsidRPr="00E43440">
        <w:t>iei ilegale și a criminalită</w:t>
      </w:r>
      <w:r w:rsidR="00812FFF" w:rsidRPr="00E43440">
        <w:t>ț</w:t>
      </w:r>
      <w:r w:rsidRPr="00E43440">
        <w:t>ii transfrontaliere, precum și al gestionării eficace a fluxurilor de migra</w:t>
      </w:r>
      <w:r w:rsidR="00812FFF" w:rsidRPr="00E43440">
        <w:t>ț</w:t>
      </w:r>
      <w:r w:rsidRPr="00E43440">
        <w:t>ie</w:t>
      </w:r>
      <w:bookmarkEnd w:id="13"/>
    </w:p>
    <w:p w14:paraId="0000008E" w14:textId="77777777" w:rsidR="00C62A9B" w:rsidRPr="00E43440" w:rsidRDefault="00D11CD4" w:rsidP="00E43440">
      <w:pPr>
        <w:pStyle w:val="Heading2"/>
      </w:pPr>
      <w:bookmarkStart w:id="14" w:name="_Toc78795661"/>
      <w:r w:rsidRPr="00E43440">
        <w:t>2.1.1. OS1 Descrierea unui obiectiv specific</w:t>
      </w:r>
      <w:bookmarkEnd w:id="14"/>
      <w:r w:rsidRPr="00E43440">
        <w:t xml:space="preserve">  </w:t>
      </w:r>
    </w:p>
    <w:p w14:paraId="514E8C8E" w14:textId="77777777" w:rsidR="00812FFF" w:rsidRPr="000D1EF3" w:rsidRDefault="00812FFF" w:rsidP="00812FFF">
      <w:pPr>
        <w:pBdr>
          <w:top w:val="single" w:sz="4" w:space="1" w:color="000000"/>
          <w:left w:val="single" w:sz="4" w:space="4" w:color="000000"/>
          <w:bottom w:val="single" w:sz="4" w:space="1" w:color="000000"/>
          <w:right w:val="single" w:sz="4" w:space="4" w:color="000000"/>
        </w:pBdr>
        <w:rPr>
          <w:i/>
          <w:color w:val="808080"/>
        </w:rPr>
      </w:pPr>
      <w:r w:rsidRPr="000D1EF3">
        <w:rPr>
          <w:i/>
          <w:color w:val="808080"/>
        </w:rPr>
        <w:t>Această secțiune descrie, pentru fiecare obiectiv specific, situația inițială și principalele provocări și propune măsuri sprijinite de fond.  Descrie care sunt măsurile de punere în aplicare abordate cu sprijinul Fondului și prevede o listă orientativă de acțiuni care intră în domeniului de aplicare al art. 3 și 4 din Regulamentele FAMI,FSI sau IMFV.</w:t>
      </w:r>
    </w:p>
    <w:p w14:paraId="1A8CA512" w14:textId="4F0F54AA" w:rsidR="00812FFF" w:rsidRPr="000D1EF3" w:rsidRDefault="00812FFF" w:rsidP="00812FFF">
      <w:pPr>
        <w:pBdr>
          <w:top w:val="single" w:sz="4" w:space="1" w:color="000000"/>
          <w:left w:val="single" w:sz="4" w:space="4" w:color="000000"/>
          <w:bottom w:val="single" w:sz="4" w:space="1" w:color="000000"/>
          <w:right w:val="single" w:sz="4" w:space="4" w:color="000000"/>
        </w:pBdr>
        <w:spacing w:after="0" w:line="240" w:lineRule="auto"/>
        <w:rPr>
          <w:rFonts w:asciiTheme="majorHAnsi" w:hAnsiTheme="majorHAnsi" w:cstheme="majorHAnsi"/>
          <w:i/>
          <w:sz w:val="24"/>
          <w:szCs w:val="24"/>
        </w:rPr>
      </w:pPr>
      <w:r w:rsidRPr="000D1EF3">
        <w:rPr>
          <w:i/>
          <w:color w:val="808080"/>
        </w:rPr>
        <w:t xml:space="preserve">Mai exact, în ceea ce privește sprijinul operațional, ea oferă o explicație în conformitate cu articolul 21 din Regulamentul FAMI, articolul 16 din Regulamentul FSI, sau cu articolele 16 și 17 din Regulamentul IMFV. Ea include o listă orientativă a beneficiarilor, cu responsabilitățile lor statutare și principalele sarcini care urmează să fie sprijinite. Utilizarea planificată a instrumentelor financiare, dacă este cazul. Câmp de text (16 000 de caractere) </w:t>
      </w:r>
    </w:p>
    <w:p w14:paraId="28607716" w14:textId="77777777" w:rsidR="00812FFF" w:rsidRPr="000D1EF3" w:rsidRDefault="00812FFF">
      <w:pPr>
        <w:jc w:val="both"/>
        <w:rPr>
          <w:rFonts w:asciiTheme="majorHAnsi" w:hAnsiTheme="majorHAnsi" w:cstheme="majorHAnsi"/>
          <w:sz w:val="24"/>
          <w:szCs w:val="24"/>
        </w:rPr>
      </w:pPr>
      <w:bookmarkStart w:id="15" w:name="_1ksv4uv" w:colFirst="0" w:colLast="0"/>
      <w:bookmarkEnd w:id="15"/>
    </w:p>
    <w:p w14:paraId="00000090" w14:textId="212786C9" w:rsidR="00C62A9B" w:rsidRPr="000D1EF3" w:rsidRDefault="00D11CD4">
      <w:pPr>
        <w:jc w:val="both"/>
        <w:rPr>
          <w:rFonts w:asciiTheme="majorHAnsi" w:hAnsiTheme="majorHAnsi" w:cstheme="majorHAnsi"/>
          <w:b/>
          <w:sz w:val="24"/>
          <w:szCs w:val="24"/>
        </w:rPr>
      </w:pPr>
      <w:r w:rsidRPr="000D1EF3">
        <w:rPr>
          <w:rFonts w:asciiTheme="majorHAnsi" w:hAnsiTheme="majorHAnsi" w:cstheme="majorHAnsi"/>
          <w:sz w:val="24"/>
          <w:szCs w:val="24"/>
        </w:rPr>
        <w:t xml:space="preserve">Pentru a contribui la realizarea obiectivului specific, RO se va axa pe următoarele </w:t>
      </w:r>
      <w:r w:rsidRPr="000D1EF3">
        <w:rPr>
          <w:rFonts w:asciiTheme="majorHAnsi" w:hAnsiTheme="majorHAnsi" w:cstheme="majorHAnsi"/>
          <w:b/>
          <w:sz w:val="24"/>
          <w:szCs w:val="24"/>
        </w:rPr>
        <w:t>măsuri de interven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w:t>
      </w:r>
    </w:p>
    <w:p w14:paraId="00000091" w14:textId="1CA61FCC" w:rsidR="00C62A9B" w:rsidRPr="00E43440" w:rsidRDefault="00D11CD4" w:rsidP="00E43440">
      <w:pPr>
        <w:pStyle w:val="Heading2"/>
      </w:pPr>
      <w:bookmarkStart w:id="16" w:name="_Toc78795662"/>
      <w:r w:rsidRPr="00E43440">
        <w:t>OS1.1 - Schimbul de informa</w:t>
      </w:r>
      <w:r w:rsidR="00812FFF" w:rsidRPr="00E43440">
        <w:t>ț</w:t>
      </w:r>
      <w:r w:rsidRPr="00E43440">
        <w:t>ii și analiza integrată a riscurilor și a amenin</w:t>
      </w:r>
      <w:r w:rsidR="00812FFF" w:rsidRPr="00E43440">
        <w:t>ț</w:t>
      </w:r>
      <w:r w:rsidRPr="00E43440">
        <w:t>ărilor susceptibile să afecteze func</w:t>
      </w:r>
      <w:r w:rsidR="00812FFF" w:rsidRPr="00E43440">
        <w:t>ț</w:t>
      </w:r>
      <w:r w:rsidRPr="00E43440">
        <w:t>ionarea sau securitatea frontierelor externe</w:t>
      </w:r>
      <w:bookmarkEnd w:id="16"/>
    </w:p>
    <w:p w14:paraId="00000092" w14:textId="7BA77F29"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 xml:space="preserve">În ceea ce privește implementarea și dezvoltarea </w:t>
      </w:r>
      <w:r w:rsidRPr="000D1EF3">
        <w:rPr>
          <w:rFonts w:asciiTheme="majorHAnsi" w:hAnsiTheme="majorHAnsi" w:cstheme="majorHAnsi"/>
          <w:b/>
          <w:sz w:val="24"/>
          <w:szCs w:val="24"/>
        </w:rPr>
        <w:t>EUROSUR</w:t>
      </w:r>
      <w:r w:rsidRPr="000D1EF3">
        <w:rPr>
          <w:rFonts w:asciiTheme="majorHAnsi" w:hAnsiTheme="majorHAnsi" w:cstheme="majorHAnsi"/>
          <w:sz w:val="24"/>
          <w:szCs w:val="24"/>
        </w:rPr>
        <w:t>, prin fondurile europene aferente cadrelor financiare anterioare, au fost realizate și modernizate un Centru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de Coordonare și 6 centre regionale de coordonare, prin care se realizează integrarea tuturor imaginilor ob</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 de la senzorii instala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la frontiera externă.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schimbului și calită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sensibile neclasificate și clasificate într-un mediu securizat și în timp aproape real cu CNC, precum și necesitatea automatizării schimbului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reprezintă principalele provocări identificate în prezent. </w:t>
      </w:r>
    </w:p>
    <w:p w14:paraId="00000093" w14:textId="4D1DA9E3"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Cu ajutorul IMFV, RO va asigura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necesară pentru extinderea 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EUROSUR, pentru a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conștientizarea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operative la frontieră și pentru a crește capacitatea de reac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asigurând totodată transmiterea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relevante pentru cadrul EUROSUR în timp real.</w:t>
      </w:r>
    </w:p>
    <w:p w14:paraId="00000094" w14:textId="7739E610"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Astfel, RO va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 măsurile necesare pentru implementarea tuturor aspectelor în domeniul </w:t>
      </w:r>
      <w:r w:rsidRPr="000D1EF3">
        <w:rPr>
          <w:rFonts w:asciiTheme="majorHAnsi" w:hAnsiTheme="majorHAnsi" w:cstheme="majorHAnsi"/>
          <w:b/>
          <w:sz w:val="24"/>
          <w:szCs w:val="24"/>
        </w:rPr>
        <w:t>schimbului de informa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ii </w:t>
      </w:r>
      <w:r w:rsidRPr="000D1EF3">
        <w:rPr>
          <w:rFonts w:asciiTheme="majorHAnsi" w:hAnsiTheme="majorHAnsi" w:cstheme="majorHAnsi"/>
          <w:sz w:val="24"/>
          <w:szCs w:val="24"/>
        </w:rPr>
        <w:t>reglementate prin Regulamentul EBCGA 2.0 și utilizarea eficientă a EUROSUR, în special prin crearea de centre locale de coordonare, interconectarea 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elelor și sistemelor de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cu EUROSUR, automatizarea schimbului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controlul calită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datelor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asigurarea securită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conectivită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performan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și disponibilită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sistemelor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w:t>
      </w:r>
    </w:p>
    <w:p w14:paraId="00000095" w14:textId="76E7108B" w:rsidR="00C62A9B" w:rsidRPr="000D1EF3" w:rsidRDefault="00D11CD4">
      <w:pPr>
        <w:ind w:left="-90"/>
        <w:jc w:val="both"/>
        <w:rPr>
          <w:rFonts w:asciiTheme="majorHAnsi" w:hAnsiTheme="majorHAnsi" w:cstheme="majorHAnsi"/>
          <w:sz w:val="24"/>
          <w:szCs w:val="24"/>
        </w:rPr>
      </w:pPr>
      <w:r w:rsidRPr="000D1EF3">
        <w:rPr>
          <w:rFonts w:asciiTheme="majorHAnsi" w:hAnsiTheme="majorHAnsi" w:cstheme="majorHAnsi"/>
          <w:sz w:val="24"/>
          <w:szCs w:val="24"/>
        </w:rPr>
        <w:t xml:space="preserve">Pentru desfășurarea optimă a </w:t>
      </w:r>
      <w:r w:rsidRPr="000D1EF3">
        <w:rPr>
          <w:rFonts w:asciiTheme="majorHAnsi" w:hAnsiTheme="majorHAnsi" w:cstheme="majorHAnsi"/>
          <w:b/>
          <w:sz w:val="24"/>
          <w:szCs w:val="24"/>
        </w:rPr>
        <w:t>activită</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 de analiză a riscurilor</w:t>
      </w:r>
      <w:r w:rsidRPr="000D1EF3">
        <w:rPr>
          <w:rFonts w:asciiTheme="majorHAnsi" w:hAnsiTheme="majorHAnsi" w:cstheme="majorHAnsi"/>
          <w:sz w:val="24"/>
          <w:szCs w:val="24"/>
        </w:rPr>
        <w:t>, la nivelul PFR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ionează 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analiză în conformitate cu CIRAM.  Măsurile care vor fi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vor aborda consolidarea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de analiză la nivel strategic, </w:t>
      </w:r>
      <w:r w:rsidR="00117B6E" w:rsidRPr="000D1EF3">
        <w:rPr>
          <w:rFonts w:asciiTheme="majorHAnsi" w:hAnsiTheme="majorHAnsi" w:cstheme="majorHAnsi"/>
          <w:sz w:val="24"/>
          <w:szCs w:val="24"/>
        </w:rPr>
        <w:t>opera</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ional</w:t>
      </w:r>
      <w:r w:rsidRPr="000D1EF3">
        <w:rPr>
          <w:rFonts w:asciiTheme="majorHAnsi" w:hAnsiTheme="majorHAnsi" w:cstheme="majorHAnsi"/>
          <w:sz w:val="24"/>
          <w:szCs w:val="24"/>
        </w:rPr>
        <w:t xml:space="preserve">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tactic a datelor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w:t>
      </w:r>
      <w:r w:rsidR="00117B6E"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iilor</w:t>
      </w:r>
      <w:r w:rsidRPr="000D1EF3">
        <w:rPr>
          <w:rFonts w:asciiTheme="majorHAnsi" w:hAnsiTheme="majorHAnsi" w:cstheme="majorHAnsi"/>
          <w:sz w:val="24"/>
          <w:szCs w:val="24"/>
        </w:rPr>
        <w:t xml:space="preserve"> privind </w:t>
      </w:r>
      <w:r w:rsidR="00117B6E" w:rsidRPr="000D1EF3">
        <w:rPr>
          <w:rFonts w:asciiTheme="majorHAnsi" w:hAnsiTheme="majorHAnsi" w:cstheme="majorHAnsi"/>
          <w:sz w:val="24"/>
          <w:szCs w:val="24"/>
        </w:rPr>
        <w:t>infrac</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ionalitatea</w:t>
      </w:r>
      <w:r w:rsidRPr="000D1EF3">
        <w:rPr>
          <w:rFonts w:asciiTheme="majorHAnsi" w:hAnsiTheme="majorHAnsi" w:cstheme="majorHAnsi"/>
          <w:sz w:val="24"/>
          <w:szCs w:val="24"/>
        </w:rPr>
        <w:t>, în special dezvoltarea platformelor informatice de analiză date și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formare, respectiv schimbul de bune practici, cooperarea inter și intra 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inclusiv cu cele din state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e/vecine.</w:t>
      </w:r>
    </w:p>
    <w:p w14:paraId="00000096" w14:textId="04B89149" w:rsidR="00C62A9B" w:rsidRPr="000D1EF3" w:rsidRDefault="00D11CD4" w:rsidP="00E43440">
      <w:pPr>
        <w:pStyle w:val="Heading2"/>
      </w:pPr>
      <w:bookmarkStart w:id="17" w:name="_Toc78795663"/>
      <w:r w:rsidRPr="000D1EF3">
        <w:lastRenderedPageBreak/>
        <w:t>OS1.2 - Consolidarea capacită</w:t>
      </w:r>
      <w:r w:rsidR="00812FFF" w:rsidRPr="000D1EF3">
        <w:t>ț</w:t>
      </w:r>
      <w:r w:rsidRPr="000D1EF3">
        <w:t>ilor privind supravegherea frontierelor pentru prevenirea și depistarea criminalită</w:t>
      </w:r>
      <w:r w:rsidR="00812FFF" w:rsidRPr="000D1EF3">
        <w:t>ț</w:t>
      </w:r>
      <w:r w:rsidRPr="000D1EF3">
        <w:t>ii transfrontaliere, în principal introducerea ilegală de migran</w:t>
      </w:r>
      <w:r w:rsidR="00812FFF" w:rsidRPr="000D1EF3">
        <w:t>ț</w:t>
      </w:r>
      <w:r w:rsidRPr="000D1EF3">
        <w:t>i, traficul de persoane și terorismul</w:t>
      </w:r>
      <w:bookmarkEnd w:id="17"/>
    </w:p>
    <w:p w14:paraId="00000097" w14:textId="46FAAA9E"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RO va continua măsurile pentru consolidarea capabilită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ilor de </w:t>
      </w:r>
      <w:r w:rsidRPr="000D1EF3">
        <w:rPr>
          <w:rFonts w:asciiTheme="majorHAnsi" w:hAnsiTheme="majorHAnsi" w:cstheme="majorHAnsi"/>
          <w:b/>
          <w:sz w:val="24"/>
          <w:szCs w:val="24"/>
        </w:rPr>
        <w:t xml:space="preserve">supraveghere </w:t>
      </w:r>
      <w:r w:rsidRPr="000D1EF3">
        <w:rPr>
          <w:rFonts w:asciiTheme="majorHAnsi" w:hAnsiTheme="majorHAnsi" w:cstheme="majorHAnsi"/>
          <w:sz w:val="24"/>
          <w:szCs w:val="24"/>
        </w:rPr>
        <w:t>la frontiere pentru a sus</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ine eforturile pe linia </w:t>
      </w:r>
      <w:r w:rsidRPr="000D1EF3">
        <w:rPr>
          <w:rFonts w:asciiTheme="majorHAnsi" w:hAnsiTheme="majorHAnsi" w:cstheme="majorHAnsi"/>
          <w:b/>
          <w:sz w:val="24"/>
          <w:szCs w:val="24"/>
        </w:rPr>
        <w:t>prevenirii</w:t>
      </w:r>
      <w:r w:rsidRPr="000D1EF3">
        <w:rPr>
          <w:rFonts w:asciiTheme="majorHAnsi" w:hAnsiTheme="majorHAnsi" w:cstheme="majorHAnsi"/>
          <w:sz w:val="24"/>
          <w:szCs w:val="24"/>
        </w:rPr>
        <w:t xml:space="preserve"> și </w:t>
      </w:r>
      <w:r w:rsidRPr="000D1EF3">
        <w:rPr>
          <w:rFonts w:asciiTheme="majorHAnsi" w:hAnsiTheme="majorHAnsi" w:cstheme="majorHAnsi"/>
          <w:b/>
          <w:sz w:val="24"/>
          <w:szCs w:val="24"/>
        </w:rPr>
        <w:t>combaterii migra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iei ilegale</w:t>
      </w:r>
      <w:r w:rsidRPr="000D1EF3">
        <w:rPr>
          <w:rFonts w:asciiTheme="majorHAnsi" w:hAnsiTheme="majorHAnsi" w:cstheme="majorHAnsi"/>
          <w:sz w:val="24"/>
          <w:szCs w:val="24"/>
        </w:rPr>
        <w:t xml:space="preserve"> și a criminalită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transfrontaliere. Astfel, atât cu sprijinul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ării europene nerambursabile, cât și a altor surse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pentru realizarea și implementarea SISF</w:t>
      </w:r>
      <w:r w:rsidR="009F7647" w:rsidRPr="000D1EF3">
        <w:rPr>
          <w:rFonts w:asciiTheme="majorHAnsi" w:hAnsiTheme="majorHAnsi" w:cstheme="majorHAnsi"/>
          <w:sz w:val="24"/>
          <w:szCs w:val="24"/>
        </w:rPr>
        <w:t xml:space="preserve"> -</w:t>
      </w:r>
      <w:r w:rsidR="009F7647" w:rsidRPr="000D1EF3">
        <w:rPr>
          <w:rFonts w:asciiTheme="majorHAnsi" w:hAnsiTheme="majorHAnsi" w:cstheme="majorHAnsi"/>
          <w:b/>
          <w:sz w:val="24"/>
          <w:szCs w:val="24"/>
        </w:rPr>
        <w:t xml:space="preserve"> Sistemului Integrat pentru Securitatea Frontierei</w:t>
      </w:r>
      <w:r w:rsidRPr="000D1EF3">
        <w:rPr>
          <w:rFonts w:asciiTheme="majorHAnsi" w:hAnsiTheme="majorHAnsi" w:cstheme="majorHAnsi"/>
          <w:sz w:val="24"/>
          <w:szCs w:val="24"/>
        </w:rPr>
        <w:t>, la frontiera terestră sunt instalate și puse în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iune </w:t>
      </w:r>
      <w:r w:rsidRPr="000D1EF3">
        <w:rPr>
          <w:rFonts w:asciiTheme="majorHAnsi" w:hAnsiTheme="majorHAnsi" w:cstheme="majorHAnsi"/>
          <w:b/>
          <w:sz w:val="24"/>
          <w:szCs w:val="24"/>
        </w:rPr>
        <w:t>sisteme fixe și mobile de supraveghere</w:t>
      </w:r>
      <w:r w:rsidRPr="000D1EF3">
        <w:rPr>
          <w:rFonts w:asciiTheme="majorHAnsi" w:hAnsiTheme="majorHAnsi" w:cstheme="majorHAnsi"/>
          <w:sz w:val="24"/>
          <w:szCs w:val="24"/>
        </w:rPr>
        <w:t>, cum ar fi sistemul SCOMAR - Sistemul Complex de Observare, Supraveghere și Control al Traficului la Marea Neagră, sistemul SCOD - Sistemul complex de observare la Dunăre, camere fixe cu termoviziune, pontoane și autospeciale de supraveghere, precum și infrastructura IT și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voce-date. De asemenea, PFR utilizează mijloace de </w:t>
      </w:r>
      <w:r w:rsidRPr="000D1EF3">
        <w:rPr>
          <w:rFonts w:asciiTheme="majorHAnsi" w:hAnsiTheme="majorHAnsi" w:cstheme="majorHAnsi"/>
          <w:b/>
          <w:sz w:val="24"/>
          <w:szCs w:val="24"/>
        </w:rPr>
        <w:t xml:space="preserve">mobilitate maritimă și terestră, </w:t>
      </w:r>
      <w:r w:rsidRPr="000D1EF3">
        <w:rPr>
          <w:rFonts w:asciiTheme="majorHAnsi" w:hAnsiTheme="majorHAnsi" w:cstheme="majorHAnsi"/>
          <w:sz w:val="24"/>
          <w:szCs w:val="24"/>
        </w:rPr>
        <w:t>precum și echipamente și mijloace specifice de interven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și protec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w:t>
      </w:r>
    </w:p>
    <w:p w14:paraId="00000098" w14:textId="68693642"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Având în vedere dimensiunea și diversitatea frontierei care trebuie securizată de către RO, din IMFV se vor asigura resurse pentru eficientizarea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specifice și consolidarea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supraveghere la frontiere, inclusiv prin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în parametri optimi a echipamentelor și sistemelor și prin modernizarea acestora la standardele de ultimă genera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în special prin dotarea structurilor operative cu tehnică de supraveghere, sisteme, echipamente și mijloace de mobilitate performante, inclusiv supraveghere aeriană.</w:t>
      </w:r>
    </w:p>
    <w:p w14:paraId="00000099" w14:textId="59D30E2A"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vederea consolidării sistemului de gestionare integrată a frontierelor, un rol major este de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inut de </w:t>
      </w:r>
      <w:r w:rsidRPr="000D1EF3">
        <w:rPr>
          <w:rFonts w:asciiTheme="majorHAnsi" w:hAnsiTheme="majorHAnsi" w:cstheme="majorHAnsi"/>
          <w:b/>
          <w:sz w:val="24"/>
          <w:szCs w:val="24"/>
        </w:rPr>
        <w:t>infrastructura poli</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iei de frontieră</w:t>
      </w:r>
      <w:r w:rsidRPr="000D1EF3">
        <w:rPr>
          <w:rFonts w:asciiTheme="majorHAnsi" w:hAnsiTheme="majorHAnsi" w:cstheme="majorHAnsi"/>
          <w:sz w:val="24"/>
          <w:szCs w:val="24"/>
        </w:rPr>
        <w:t>, clădirile și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destinate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specifice desfășurate de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iștii de frontieră. În ultimii 7 ani, au fost construite, reabilitate și modernizate din fonduri UE 11 imobile operative  ale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de frontieră , dintr-un total de 134. </w:t>
      </w:r>
    </w:p>
    <w:p w14:paraId="0000009A" w14:textId="7D8577E4"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acest sens, RO va continua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pentru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de lucru pentru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iștii de frontieră și implicit 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în special prin</w:t>
      </w:r>
      <w:r w:rsidR="00FE20E6" w:rsidRPr="000D1EF3">
        <w:rPr>
          <w:rFonts w:asciiTheme="majorHAnsi" w:hAnsiTheme="majorHAnsi" w:cstheme="majorHAnsi"/>
          <w:sz w:val="24"/>
          <w:szCs w:val="24"/>
        </w:rPr>
        <w:t xml:space="preserve"> construirea,</w:t>
      </w:r>
      <w:r w:rsidRPr="000D1EF3">
        <w:rPr>
          <w:rFonts w:asciiTheme="majorHAnsi" w:hAnsiTheme="majorHAnsi" w:cstheme="majorHAnsi"/>
          <w:sz w:val="24"/>
          <w:szCs w:val="24"/>
        </w:rPr>
        <w:t xml:space="preserve"> reabilitarea, modernizarea și dotarea imobilelor aferente localizate la frontiera externă a UE, precum și a celor destinate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ilor de pregătire și coordonare operativă. </w:t>
      </w:r>
    </w:p>
    <w:p w14:paraId="0000009B" w14:textId="77777777" w:rsidR="00C62A9B" w:rsidRPr="000D1EF3" w:rsidRDefault="00C62A9B">
      <w:pPr>
        <w:pBdr>
          <w:top w:val="nil"/>
          <w:left w:val="nil"/>
          <w:bottom w:val="nil"/>
          <w:right w:val="nil"/>
          <w:between w:val="nil"/>
        </w:pBdr>
        <w:tabs>
          <w:tab w:val="left" w:pos="8364"/>
        </w:tabs>
        <w:spacing w:after="0" w:line="240" w:lineRule="auto"/>
        <w:ind w:left="360"/>
        <w:jc w:val="both"/>
        <w:rPr>
          <w:rFonts w:asciiTheme="majorHAnsi" w:hAnsiTheme="majorHAnsi" w:cstheme="majorHAnsi"/>
          <w:color w:val="000000"/>
          <w:sz w:val="24"/>
          <w:szCs w:val="24"/>
        </w:rPr>
      </w:pPr>
    </w:p>
    <w:p w14:paraId="0000009C" w14:textId="3057EE33" w:rsidR="00C62A9B" w:rsidRPr="000D1EF3" w:rsidRDefault="00D11CD4" w:rsidP="00E43440">
      <w:pPr>
        <w:pStyle w:val="Heading2"/>
      </w:pPr>
      <w:bookmarkStart w:id="18" w:name="_Toc78795664"/>
      <w:r w:rsidRPr="000D1EF3">
        <w:t>OS1.3 - Îmbunătă</w:t>
      </w:r>
      <w:r w:rsidR="00812FFF" w:rsidRPr="000D1EF3">
        <w:t>ț</w:t>
      </w:r>
      <w:r w:rsidRPr="000D1EF3">
        <w:t>irea verificărilor la frontiere prin consolidarea capacită</w:t>
      </w:r>
      <w:r w:rsidR="00812FFF" w:rsidRPr="000D1EF3">
        <w:t>ț</w:t>
      </w:r>
      <w:r w:rsidRPr="000D1EF3">
        <w:t>ilor pentru efectuarea de verificări la frontiere în vederea prevenirii și depistării criminalită</w:t>
      </w:r>
      <w:r w:rsidR="00812FFF" w:rsidRPr="000D1EF3">
        <w:t>ț</w:t>
      </w:r>
      <w:r w:rsidRPr="000D1EF3">
        <w:t>ii transfrontaliere și pentru facilitarea trecerii legale a frontierei</w:t>
      </w:r>
      <w:bookmarkEnd w:id="18"/>
    </w:p>
    <w:p w14:paraId="0000009D" w14:textId="34A39643"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La nivelul punctelor de trecere a frontierei, au fost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și sunt utilizate echipamente specifice de control al documentelor, al persoanelor și al mijloacelor de transport/bagajelor, sisteme de tip ABC și ANPR, infrastructură IT, sisteme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de monitorizare trafic, inclusiv echipamente portabile de control al documentelor.</w:t>
      </w:r>
    </w:p>
    <w:p w14:paraId="0000009E" w14:textId="3B7B36AD"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cadrul acestei priorită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RO va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măsuri care să răspundă riscurilor generate de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ionalitatea transfrontalieră, precum și pentru creșterea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de verificare la frontieră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reducerea timpului mediu de control, în special privind extinderea sistemelor de control automat, echipamente de control a documentelor de călătorie pentru depistarea falsurilor și echipamentele de detec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a persoanelor ascunse în mijloacele de transport.</w:t>
      </w:r>
    </w:p>
    <w:p w14:paraId="0000009F" w14:textId="692D1527"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De asemenea, RO va avea în vederea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implementării unor solu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rezultate din proiecte de cercetare și dezvoltare cu aplicabilitate în domeniul controlului frontierei.</w:t>
      </w:r>
    </w:p>
    <w:p w14:paraId="000000A0" w14:textId="77777777" w:rsidR="00C62A9B" w:rsidRPr="000D1EF3" w:rsidRDefault="00C62A9B">
      <w:pPr>
        <w:tabs>
          <w:tab w:val="left" w:pos="8364"/>
        </w:tabs>
        <w:spacing w:after="120" w:line="240" w:lineRule="auto"/>
        <w:jc w:val="both"/>
        <w:rPr>
          <w:rFonts w:asciiTheme="majorHAnsi" w:hAnsiTheme="majorHAnsi" w:cstheme="majorHAnsi"/>
          <w:sz w:val="24"/>
          <w:szCs w:val="24"/>
        </w:rPr>
      </w:pPr>
    </w:p>
    <w:p w14:paraId="000000A1" w14:textId="77777777" w:rsidR="00C62A9B" w:rsidRPr="000D1EF3" w:rsidRDefault="00D11CD4" w:rsidP="00E43440">
      <w:pPr>
        <w:pStyle w:val="Heading2"/>
      </w:pPr>
      <w:bookmarkStart w:id="19" w:name="_Toc78795665"/>
      <w:r w:rsidRPr="000D1EF3">
        <w:lastRenderedPageBreak/>
        <w:t>OS1.4. Instituirea, dezvoltarea și optimizarea sistemelor TIC pentru managementul integrat al frontierelor, inclusiv interoperabilitatea și infrastructura asociată acestora</w:t>
      </w:r>
      <w:bookmarkEnd w:id="19"/>
    </w:p>
    <w:p w14:paraId="000000A2" w14:textId="2654B08B"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La nivelul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de frontieră, este dezvoltat și utilizat un </w:t>
      </w:r>
      <w:r w:rsidRPr="000D1EF3">
        <w:rPr>
          <w:rFonts w:asciiTheme="majorHAnsi" w:hAnsiTheme="majorHAnsi" w:cstheme="majorHAnsi"/>
          <w:b/>
          <w:sz w:val="24"/>
          <w:szCs w:val="24"/>
        </w:rPr>
        <w:t>sistem de comunica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 voce-date</w:t>
      </w:r>
      <w:r w:rsidRPr="000D1EF3">
        <w:rPr>
          <w:rFonts w:asciiTheme="majorHAnsi" w:hAnsiTheme="majorHAnsi" w:cstheme="majorHAnsi"/>
          <w:sz w:val="24"/>
          <w:szCs w:val="24"/>
        </w:rPr>
        <w:t xml:space="preserve"> care asigură accesul structurilor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de frontieră la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și bazele de date centralizate astfel încât să fie desfășurate în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optime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specifice de control la frontieră. Din IMFV se va asigura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necesară pentru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la parametri optimi și pentru asigurarea unei disponibilită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înalte a sistemului, în special prin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de extindere și modernizare a acestui sistem, în contextul noilor tehnologii și 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existente și viitoare.</w:t>
      </w:r>
    </w:p>
    <w:p w14:paraId="000000A3" w14:textId="08894F7A"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 xml:space="preserve">Sistemul informatic </w:t>
      </w:r>
      <w:proofErr w:type="spellStart"/>
      <w:r w:rsidRPr="000D1EF3">
        <w:rPr>
          <w:rFonts w:asciiTheme="majorHAnsi" w:hAnsiTheme="majorHAnsi" w:cstheme="majorHAnsi"/>
          <w:b/>
          <w:sz w:val="24"/>
          <w:szCs w:val="24"/>
        </w:rPr>
        <w:t>eSIF</w:t>
      </w:r>
      <w:proofErr w:type="spellEnd"/>
      <w:r w:rsidRPr="000D1EF3">
        <w:rPr>
          <w:rFonts w:asciiTheme="majorHAnsi" w:hAnsiTheme="majorHAnsi" w:cstheme="majorHAnsi"/>
          <w:sz w:val="24"/>
          <w:szCs w:val="24"/>
        </w:rPr>
        <w:t>, dezvoltat și modernizat de către specialiștii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de frontieră, cu ajutorului fondurilor europene precedente, asigură accesarea directă și în mod integrat a tuturor bazelor de date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europene și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relevante, inclusiv integrarea cu sistemele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la scară largă. De asemenea, componenta tehnică a </w:t>
      </w:r>
      <w:r w:rsidRPr="000D1EF3">
        <w:rPr>
          <w:rFonts w:asciiTheme="majorHAnsi" w:hAnsiTheme="majorHAnsi" w:cstheme="majorHAnsi"/>
          <w:b/>
          <w:sz w:val="24"/>
          <w:szCs w:val="24"/>
        </w:rPr>
        <w:t>SISF</w:t>
      </w:r>
      <w:r w:rsidRPr="000D1EF3">
        <w:rPr>
          <w:rFonts w:asciiTheme="majorHAnsi" w:hAnsiTheme="majorHAnsi" w:cstheme="majorHAnsi"/>
          <w:bCs/>
          <w:sz w:val="24"/>
          <w:szCs w:val="24"/>
        </w:rPr>
        <w:t>,</w:t>
      </w:r>
      <w:r w:rsidRPr="000D1EF3">
        <w:rPr>
          <w:rFonts w:asciiTheme="majorHAnsi" w:hAnsiTheme="majorHAnsi" w:cstheme="majorHAnsi"/>
          <w:b/>
          <w:sz w:val="24"/>
          <w:szCs w:val="24"/>
        </w:rPr>
        <w:t xml:space="preserve"> </w:t>
      </w:r>
      <w:r w:rsidRPr="000D1EF3">
        <w:rPr>
          <w:rFonts w:asciiTheme="majorHAnsi" w:hAnsiTheme="majorHAnsi" w:cstheme="majorHAnsi"/>
          <w:sz w:val="24"/>
          <w:szCs w:val="24"/>
        </w:rPr>
        <w:t>sistemul complex format din diverse componente interconectate, compatibil și interoperabil cu sisteme similare și cu diferite platforme și baze de date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este utilizat de PFR pentru combaterea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transfrontaliere.</w:t>
      </w:r>
    </w:p>
    <w:p w14:paraId="000000A4" w14:textId="38F2C486"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Cu ajutorul IMFV, principalele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ale RO vor viza asigurarea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continue și optimizarea modului de gestionare a datelor acestor sisteme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în scopul reducerii timpilor de răspuns, în special prin adaptarea și modernizarea infrastructurii hardware și software la </w:t>
      </w:r>
      <w:r w:rsidR="00117B6E" w:rsidRPr="000D1EF3">
        <w:rPr>
          <w:rFonts w:asciiTheme="majorHAnsi" w:hAnsiTheme="majorHAnsi" w:cstheme="majorHAnsi"/>
          <w:sz w:val="24"/>
          <w:szCs w:val="24"/>
        </w:rPr>
        <w:t>creșterea</w:t>
      </w:r>
      <w:r w:rsidRPr="000D1EF3">
        <w:rPr>
          <w:rFonts w:asciiTheme="majorHAnsi" w:hAnsiTheme="majorHAnsi" w:cstheme="majorHAnsi"/>
          <w:sz w:val="24"/>
          <w:szCs w:val="24"/>
        </w:rPr>
        <w:t xml:space="preserve"> volumului de date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a numărului de utilizatori, asigurarea continuită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serviciilor și recuperare în caz de dezastru și implementarea de tehnologii moderne care aplică mecanisme de disponibilitate ridicată, de replicare și de preluare automată.</w:t>
      </w:r>
    </w:p>
    <w:p w14:paraId="000000A5" w14:textId="797A726E"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 xml:space="preserve">În cadrul dezvoltării </w:t>
      </w:r>
      <w:r w:rsidRPr="000D1EF3">
        <w:rPr>
          <w:rFonts w:asciiTheme="majorHAnsi" w:hAnsiTheme="majorHAnsi" w:cstheme="majorHAnsi"/>
          <w:b/>
          <w:sz w:val="24"/>
          <w:szCs w:val="24"/>
        </w:rPr>
        <w:t>EES și ETIAS</w:t>
      </w:r>
      <w:r w:rsidRPr="000D1EF3">
        <w:rPr>
          <w:rFonts w:asciiTheme="majorHAnsi" w:hAnsiTheme="majorHAnsi" w:cstheme="majorHAnsi"/>
          <w:sz w:val="24"/>
          <w:szCs w:val="24"/>
        </w:rPr>
        <w:t>, la nivelul RO, au fost luate măsurile necesare pentru punerea în aplicare a regulamentelor aferente, inclusiv ajustările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necesare, întocmirea planului de management pentru implementarea acestora și identificarea nevoilor de pregătire aferente. În colaborare cu 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europene care vor furniza pregătirea pentru statele membre în vederea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ionalizării și operării EES și ETIAS (eu-LISA, FRONTEX și CEPOL – pentru partea de EES) se va elabora planul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de pregătire a utilizatorilor finali EES și ETIAS de la nivel PFR. Procesul de pregătire a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iștilor de frontieră din linia I și II de control a fost ini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iat, prin parcurgerea unui modul on-line furnizat de FRONTEX.</w:t>
      </w:r>
    </w:p>
    <w:p w14:paraId="000000A6" w14:textId="69D96BE5"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Prin FSI 2014-2020, este asigurată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pentru etapa de pregătire și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ionalizare a sistemelor EES și ETIAS, în special prin instituirea 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ETIAS,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de echipamente fixe și mobile de control la frontieră, a unei solu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consolidare a infrastructurii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date, a unei platforme de colaborare între punctele Centrale de Acces EES și ETIAS și structurile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precum și nevoile identificate la nivelul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cu competen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 în implementarea EES în conformitate cu art. 64 alin. (1) și (2) din Regulamentul (UE) nr. 2017/2226 privind integrarea și conectarea infrastructurii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de frontieră la interfa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ională uniformă. </w:t>
      </w:r>
    </w:p>
    <w:p w14:paraId="000000A7" w14:textId="2F2DA500" w:rsidR="00C62A9B" w:rsidRPr="000D1EF3" w:rsidRDefault="00D11CD4">
      <w:pPr>
        <w:tabs>
          <w:tab w:val="left" w:pos="8364"/>
        </w:tabs>
        <w:spacing w:after="120" w:line="240" w:lineRule="auto"/>
        <w:ind w:left="-90"/>
        <w:jc w:val="both"/>
        <w:rPr>
          <w:rFonts w:asciiTheme="majorHAnsi" w:eastAsia="Arial" w:hAnsiTheme="majorHAnsi" w:cstheme="majorHAnsi"/>
          <w:sz w:val="24"/>
          <w:szCs w:val="24"/>
        </w:rPr>
      </w:pPr>
      <w:r w:rsidRPr="000D1EF3">
        <w:rPr>
          <w:rFonts w:asciiTheme="majorHAnsi" w:hAnsiTheme="majorHAnsi" w:cstheme="majorHAnsi"/>
          <w:sz w:val="24"/>
          <w:szCs w:val="24"/>
        </w:rPr>
        <w:t>IMFV se suprapune par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 cu etapa de pregătire pentru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ionalizarea EES și ETIAS, precum și cu perioada post-opera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ionalizare și operare a celor două sisteme.</w:t>
      </w:r>
      <w:r w:rsidRPr="000D1EF3">
        <w:rPr>
          <w:rFonts w:asciiTheme="majorHAnsi" w:hAnsiTheme="majorHAnsi" w:cstheme="majorHAnsi"/>
          <w:i/>
          <w:sz w:val="24"/>
          <w:szCs w:val="24"/>
        </w:rPr>
        <w:t xml:space="preserve"> </w:t>
      </w:r>
      <w:r w:rsidRPr="000D1EF3">
        <w:rPr>
          <w:rFonts w:asciiTheme="majorHAnsi" w:hAnsiTheme="majorHAnsi" w:cstheme="majorHAnsi"/>
          <w:sz w:val="24"/>
          <w:szCs w:val="24"/>
        </w:rPr>
        <w:t>Ca atare, complementar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din FSI</w:t>
      </w:r>
      <w:r w:rsidR="00D87D5F" w:rsidRPr="000D1EF3">
        <w:rPr>
          <w:rFonts w:asciiTheme="majorHAnsi" w:hAnsiTheme="majorHAnsi" w:cstheme="majorHAnsi"/>
          <w:sz w:val="24"/>
          <w:szCs w:val="24"/>
        </w:rPr>
        <w:t xml:space="preserve"> </w:t>
      </w:r>
      <w:r w:rsidR="00117B6E" w:rsidRPr="000D1EF3">
        <w:rPr>
          <w:rFonts w:asciiTheme="majorHAnsi" w:hAnsiTheme="majorHAnsi" w:cstheme="majorHAnsi"/>
          <w:sz w:val="24"/>
          <w:szCs w:val="24"/>
        </w:rPr>
        <w:t>2014-2021</w:t>
      </w:r>
      <w:r w:rsidRPr="000D1EF3">
        <w:rPr>
          <w:rFonts w:asciiTheme="majorHAnsi" w:hAnsiTheme="majorHAnsi" w:cstheme="majorHAnsi"/>
          <w:sz w:val="24"/>
          <w:szCs w:val="24"/>
        </w:rPr>
        <w:t>, prin IMFV, RO își propune dezvoltarea,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și modernizarea sistemelor EES și ETIAS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în special prin asigurarea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privind interoperabilitatea sistemelor TIC și consolidarea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 structurilor nou înfiin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Unitatea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ETIAS și Punctele Centrale de Acces EES și ETIAS , având în vedere evolu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înregistrate în primii ani de operare a sistemelor, precum și din eventuale modificări ale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legale sau tehnice ale acestora.</w:t>
      </w:r>
    </w:p>
    <w:p w14:paraId="000000A8" w14:textId="012DC12D"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Asigurarea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în cele mai bune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a sistemelor </w:t>
      </w:r>
      <w:r w:rsidRPr="000D1EF3">
        <w:rPr>
          <w:rFonts w:asciiTheme="majorHAnsi" w:hAnsiTheme="majorHAnsi" w:cstheme="majorHAnsi"/>
          <w:b/>
          <w:sz w:val="24"/>
          <w:szCs w:val="24"/>
        </w:rPr>
        <w:t>SIS II și SIRENE</w:t>
      </w:r>
      <w:r w:rsidRPr="000D1EF3">
        <w:rPr>
          <w:rFonts w:asciiTheme="majorHAnsi" w:hAnsiTheme="majorHAnsi" w:cstheme="majorHAnsi"/>
          <w:sz w:val="24"/>
          <w:szCs w:val="24"/>
        </w:rPr>
        <w:t>, instrumente fundamentale în managementul integrat al frontierei, reprezintă o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a fiecărui stat membru. </w:t>
      </w:r>
      <w:r w:rsidRPr="000D1EF3">
        <w:rPr>
          <w:rFonts w:asciiTheme="majorHAnsi" w:hAnsiTheme="majorHAnsi" w:cstheme="majorHAnsi"/>
          <w:sz w:val="24"/>
          <w:szCs w:val="24"/>
        </w:rPr>
        <w:lastRenderedPageBreak/>
        <w:t>Cu sprijinul fondurilor europene precedente, RO a modernizat și dezvoltat sistemul informatic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NSIS II în vederea asigurării bunei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 a componentei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 sistemului central, în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de disponibilitate, continuitate a serviciilor, securitate și performan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impuse de sistemul central SIS II. SIRENE a fost modernizat în 2019, pentru asigurarea schimbului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suplimentare la semnalările din SIS II, asigurându-se și conectivitatea cu SINS.</w:t>
      </w:r>
    </w:p>
    <w:p w14:paraId="000000A9" w14:textId="0894CDA0"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RO are în vedere reproiectarea NSIS II într-un sistem omogen din punct de vedere al tehnologiei utilizate, astfel încât întreaga filosofie de business a NSIS să corespundă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de performan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și disponibilitate neîntreruptă conform Regulamentului SIS.</w:t>
      </w:r>
    </w:p>
    <w:p w14:paraId="000000AA" w14:textId="18ABE105"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Având în vedere faptul că arhitectura SIRENE este într-o continuă modernizare, ceea ce impune actualizări permanente atât la nivel de software, cât și la nivel hardware, RO își propune modernizarea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SIRENE prin implementarea unui sistem informatic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și viabil, realizat pe o platformă tehnologică actuală.</w:t>
      </w:r>
    </w:p>
    <w:p w14:paraId="000000AB" w14:textId="59778D4B"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 xml:space="preserve">Pentru implementarea Regulamentului nr. 1861/2018, RO întreprinde măsuri pentru punerea în aplicare a căutării după amprentă în SIS - </w:t>
      </w:r>
      <w:r w:rsidRPr="000D1EF3">
        <w:rPr>
          <w:rFonts w:asciiTheme="majorHAnsi" w:hAnsiTheme="majorHAnsi" w:cstheme="majorHAnsi"/>
          <w:b/>
          <w:sz w:val="24"/>
          <w:szCs w:val="24"/>
        </w:rPr>
        <w:t>AFIS</w:t>
      </w:r>
      <w:r w:rsidRPr="000D1EF3">
        <w:rPr>
          <w:rFonts w:asciiTheme="majorHAnsi" w:hAnsiTheme="majorHAnsi" w:cstheme="majorHAnsi"/>
          <w:sz w:val="24"/>
          <w:szCs w:val="24"/>
        </w:rPr>
        <w:t>, prin adaptarea și dezvoltarea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proprii pentru integrarea specifica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tehnice, identificarea nevoilor hardware, precum și prin pregătirea utilizatorilor pentru noile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Din IMFV, RO va viza, în principal,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privind dezvoltarea și modernizarea sistemelor informatice care colectează, stochează și procesează date biometrice în conformitate cu regulile de interoperabilitate adoptate la nivelul UE. În subsidiar, aceste măsuri vor aborda implementarea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elor din Regulamentele 1860/2018 și 1862/2018. </w:t>
      </w:r>
    </w:p>
    <w:p w14:paraId="000000AC" w14:textId="2FE36287" w:rsidR="00C62A9B" w:rsidRPr="000D1EF3" w:rsidRDefault="00D11CD4">
      <w:pPr>
        <w:tabs>
          <w:tab w:val="left" w:pos="8364"/>
        </w:tabs>
        <w:spacing w:after="120" w:line="240" w:lineRule="auto"/>
        <w:ind w:left="-90"/>
        <w:jc w:val="both"/>
        <w:rPr>
          <w:rFonts w:asciiTheme="majorHAnsi" w:hAnsiTheme="majorHAnsi" w:cstheme="majorHAnsi"/>
          <w:sz w:val="24"/>
          <w:szCs w:val="24"/>
        </w:rPr>
      </w:pPr>
      <w:r w:rsidRPr="000D1EF3">
        <w:rPr>
          <w:rFonts w:asciiTheme="majorHAnsi" w:hAnsiTheme="majorHAnsi" w:cstheme="majorHAnsi"/>
          <w:sz w:val="24"/>
          <w:szCs w:val="24"/>
        </w:rPr>
        <w:t xml:space="preserve">În virtutea obiectivelor comune ale Regulamentelor 817/2019 și 818/2019 privind </w:t>
      </w:r>
      <w:r w:rsidRPr="000D1EF3">
        <w:rPr>
          <w:rFonts w:asciiTheme="majorHAnsi" w:hAnsiTheme="majorHAnsi" w:cstheme="majorHAnsi"/>
          <w:b/>
          <w:sz w:val="24"/>
          <w:szCs w:val="24"/>
        </w:rPr>
        <w:t>interoperabilitatea</w:t>
      </w:r>
      <w:r w:rsidRPr="000D1EF3">
        <w:rPr>
          <w:rFonts w:asciiTheme="majorHAnsi" w:hAnsiTheme="majorHAnsi" w:cstheme="majorHAnsi"/>
          <w:sz w:val="24"/>
          <w:szCs w:val="24"/>
        </w:rPr>
        <w:t>, RO va aborda prin IMFV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pentru integrarea sistemelor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și dezvoltarea instrumentelor necesare de interconectare, în principal pentru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eficacită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a eficien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verificărilor la frontierele externe, pentru prevenirea și combaterea imigra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ilegale și pentru punerea în aplicare a politicii comune în materie de vize, și în secundar pentru prevenirea, depistarea și investigarea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de terorism sau a altor infrac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grave.</w:t>
      </w:r>
    </w:p>
    <w:p w14:paraId="000000AD" w14:textId="77777777" w:rsidR="00C62A9B" w:rsidRPr="000D1EF3" w:rsidRDefault="00C62A9B">
      <w:pPr>
        <w:tabs>
          <w:tab w:val="left" w:pos="8364"/>
        </w:tabs>
        <w:spacing w:after="120" w:line="240" w:lineRule="auto"/>
        <w:ind w:left="-90"/>
        <w:jc w:val="both"/>
        <w:rPr>
          <w:rFonts w:asciiTheme="majorHAnsi" w:hAnsiTheme="majorHAnsi" w:cstheme="majorHAnsi"/>
          <w:sz w:val="24"/>
          <w:szCs w:val="24"/>
        </w:rPr>
      </w:pPr>
    </w:p>
    <w:p w14:paraId="000000AE" w14:textId="40370E40" w:rsidR="00C62A9B" w:rsidRPr="000D1EF3" w:rsidRDefault="00D11CD4" w:rsidP="00E43440">
      <w:pPr>
        <w:pStyle w:val="Heading2"/>
      </w:pPr>
      <w:bookmarkStart w:id="20" w:name="_Toc78795666"/>
      <w:r w:rsidRPr="000D1EF3">
        <w:t>OS1.5- Îmbunătă</w:t>
      </w:r>
      <w:r w:rsidR="00812FFF" w:rsidRPr="000D1EF3">
        <w:t>ț</w:t>
      </w:r>
      <w:r w:rsidRPr="000D1EF3">
        <w:t>irea cooperării interinstitu</w:t>
      </w:r>
      <w:r w:rsidR="00812FFF" w:rsidRPr="000D1EF3">
        <w:t>ț</w:t>
      </w:r>
      <w:r w:rsidRPr="000D1EF3">
        <w:t>ionale la nivel na</w:t>
      </w:r>
      <w:r w:rsidR="00812FFF" w:rsidRPr="000D1EF3">
        <w:t>ț</w:t>
      </w:r>
      <w:r w:rsidRPr="000D1EF3">
        <w:t xml:space="preserve">ional, european și cu </w:t>
      </w:r>
      <w:r w:rsidR="00812FFF" w:rsidRPr="000D1EF3">
        <w:t>ț</w:t>
      </w:r>
      <w:r w:rsidR="00117B6E" w:rsidRPr="000D1EF3">
        <w:t>ări</w:t>
      </w:r>
      <w:r w:rsidRPr="000D1EF3">
        <w:t xml:space="preserve"> ter</w:t>
      </w:r>
      <w:r w:rsidR="00812FFF" w:rsidRPr="000D1EF3">
        <w:t>ț</w:t>
      </w:r>
      <w:r w:rsidRPr="000D1EF3">
        <w:t>e și activită</w:t>
      </w:r>
      <w:r w:rsidR="00812FFF" w:rsidRPr="000D1EF3">
        <w:t>ț</w:t>
      </w:r>
      <w:r w:rsidRPr="000D1EF3">
        <w:t>i de formare, studii, schimb de bune practici și de expertiză,  în domeniul managementului integrat al frontierelor</w:t>
      </w:r>
      <w:bookmarkEnd w:id="20"/>
    </w:p>
    <w:p w14:paraId="000000AF" w14:textId="3754EC3D" w:rsidR="00C62A9B" w:rsidRPr="000D1EF3" w:rsidRDefault="00D11CD4">
      <w:pPr>
        <w:tabs>
          <w:tab w:val="left" w:pos="8364"/>
        </w:tabs>
        <w:jc w:val="both"/>
        <w:rPr>
          <w:rFonts w:asciiTheme="majorHAnsi" w:hAnsiTheme="majorHAnsi" w:cstheme="majorHAnsi"/>
          <w:sz w:val="24"/>
          <w:szCs w:val="24"/>
        </w:rPr>
      </w:pPr>
      <w:r w:rsidRPr="000D1EF3">
        <w:rPr>
          <w:rFonts w:asciiTheme="majorHAnsi" w:hAnsiTheme="majorHAnsi" w:cstheme="majorHAnsi"/>
          <w:sz w:val="24"/>
          <w:szCs w:val="24"/>
        </w:rPr>
        <w:t xml:space="preserve">În prezent, pentru crearea unui tablou </w:t>
      </w:r>
      <w:r w:rsidR="00117B6E"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ional</w:t>
      </w:r>
      <w:r w:rsidRPr="000D1EF3">
        <w:rPr>
          <w:rFonts w:asciiTheme="majorHAnsi" w:hAnsiTheme="majorHAnsi" w:cstheme="majorHAnsi"/>
          <w:sz w:val="24"/>
          <w:szCs w:val="24"/>
        </w:rPr>
        <w:t xml:space="preserve"> complet, RO implementează mecanisme de cooperare eficiente cu statele vecine, atât la frontiera internă, cât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cea externă. Astfel, prin intermediul centrelor/punctelor comune de contact care </w:t>
      </w:r>
      <w:r w:rsidR="00117B6E" w:rsidRPr="000D1EF3">
        <w:rPr>
          <w:rFonts w:asciiTheme="majorHAnsi" w:hAnsiTheme="majorHAnsi" w:cstheme="majorHAnsi"/>
          <w:sz w:val="24"/>
          <w:szCs w:val="24"/>
        </w:rPr>
        <w:t>func</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ionează</w:t>
      </w:r>
      <w:r w:rsidRPr="000D1EF3">
        <w:rPr>
          <w:rFonts w:asciiTheme="majorHAnsi" w:hAnsiTheme="majorHAnsi" w:cstheme="majorHAnsi"/>
          <w:sz w:val="24"/>
          <w:szCs w:val="24"/>
        </w:rPr>
        <w:t xml:space="preserve"> la nivelul PFR, situate pe segmentele de frontieră cu statele vecine, se asigură un schimb rapid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w:t>
      </w:r>
    </w:p>
    <w:p w14:paraId="000000B0" w14:textId="49080C0C" w:rsidR="00C62A9B" w:rsidRPr="000D1EF3" w:rsidRDefault="00D11CD4">
      <w:pPr>
        <w:tabs>
          <w:tab w:val="left" w:pos="8364"/>
        </w:tabs>
        <w:jc w:val="both"/>
        <w:rPr>
          <w:rFonts w:asciiTheme="majorHAnsi" w:hAnsiTheme="majorHAnsi" w:cstheme="majorHAnsi"/>
          <w:sz w:val="24"/>
          <w:szCs w:val="24"/>
        </w:rPr>
      </w:pPr>
      <w:r w:rsidRPr="000D1EF3">
        <w:rPr>
          <w:rFonts w:asciiTheme="majorHAnsi" w:hAnsiTheme="majorHAnsi" w:cstheme="majorHAnsi"/>
          <w:sz w:val="24"/>
          <w:szCs w:val="24"/>
        </w:rPr>
        <w:t>RO are o rezervă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EBCGT de peste 500 de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iști de frontieră și  participă activ la </w:t>
      </w:r>
      <w:r w:rsidR="00117B6E" w:rsidRPr="000D1EF3">
        <w:rPr>
          <w:rFonts w:asciiTheme="majorHAnsi" w:hAnsiTheme="majorHAnsi" w:cstheme="majorHAnsi"/>
          <w:sz w:val="24"/>
          <w:szCs w:val="24"/>
        </w:rPr>
        <w:t>activită</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ile</w:t>
      </w:r>
      <w:r w:rsidRPr="000D1EF3">
        <w:rPr>
          <w:rFonts w:asciiTheme="majorHAnsi" w:hAnsiTheme="majorHAnsi" w:cstheme="majorHAnsi"/>
          <w:sz w:val="24"/>
          <w:szCs w:val="24"/>
        </w:rPr>
        <w:t xml:space="preserve"> de cooperare,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comune, interven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rapide la frontieră sau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iuni de returnare, coordonate de către EBCGA, inclusiv implementarea unui sistem de </w:t>
      </w:r>
      <w:r w:rsidR="00117B6E" w:rsidRPr="000D1EF3">
        <w:rPr>
          <w:rFonts w:asciiTheme="majorHAnsi" w:hAnsiTheme="majorHAnsi" w:cstheme="majorHAnsi"/>
          <w:sz w:val="24"/>
          <w:szCs w:val="24"/>
        </w:rPr>
        <w:t>detașare</w:t>
      </w:r>
      <w:r w:rsidRPr="000D1EF3">
        <w:rPr>
          <w:rFonts w:asciiTheme="majorHAnsi" w:hAnsiTheme="majorHAnsi" w:cstheme="majorHAnsi"/>
          <w:sz w:val="24"/>
          <w:szCs w:val="24"/>
        </w:rPr>
        <w:t xml:space="preserve"> a resurselor umane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a mijloacelor tehnice pentru nevoile operative ale EBCGA. </w:t>
      </w:r>
    </w:p>
    <w:p w14:paraId="000000B1" w14:textId="59BFBB38" w:rsidR="00C62A9B" w:rsidRPr="000D1EF3" w:rsidRDefault="00D11CD4">
      <w:pPr>
        <w:tabs>
          <w:tab w:val="left" w:pos="8364"/>
        </w:tabs>
        <w:jc w:val="both"/>
        <w:rPr>
          <w:rFonts w:asciiTheme="majorHAnsi" w:hAnsiTheme="majorHAnsi" w:cstheme="majorHAnsi"/>
          <w:sz w:val="24"/>
          <w:szCs w:val="24"/>
        </w:rPr>
      </w:pPr>
      <w:r w:rsidRPr="000D1EF3">
        <w:rPr>
          <w:rFonts w:asciiTheme="majorHAnsi" w:hAnsiTheme="majorHAnsi" w:cstheme="majorHAnsi"/>
          <w:sz w:val="24"/>
          <w:szCs w:val="24"/>
        </w:rPr>
        <w:t>Din IMFV, RO va aborda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privind dezvoltarea cooperării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european și cu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 cum ar fi extinderea schimbului de </w:t>
      </w:r>
      <w:r w:rsidR="00117B6E"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117B6E" w:rsidRPr="000D1EF3">
        <w:rPr>
          <w:rFonts w:asciiTheme="majorHAnsi" w:hAnsiTheme="majorHAnsi" w:cstheme="majorHAnsi"/>
          <w:sz w:val="24"/>
          <w:szCs w:val="24"/>
        </w:rPr>
        <w:t>ii</w:t>
      </w:r>
      <w:r w:rsidRPr="000D1EF3">
        <w:rPr>
          <w:rFonts w:asciiTheme="majorHAnsi" w:hAnsiTheme="majorHAnsi" w:cstheme="majorHAnsi"/>
          <w:sz w:val="24"/>
          <w:szCs w:val="24"/>
        </w:rPr>
        <w:t>, bune practici și experien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cu statele vecine, inclusiv state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 realizarea de analize de risc integrate </w:t>
      </w:r>
      <w:r w:rsidR="00117B6E" w:rsidRPr="000D1EF3">
        <w:rPr>
          <w:rFonts w:asciiTheme="majorHAnsi" w:hAnsiTheme="majorHAnsi" w:cstheme="majorHAnsi"/>
          <w:sz w:val="24"/>
          <w:szCs w:val="24"/>
        </w:rPr>
        <w:t>și</w:t>
      </w:r>
      <w:r w:rsidRPr="000D1EF3">
        <w:rPr>
          <w:rFonts w:asciiTheme="majorHAnsi" w:hAnsiTheme="majorHAnsi" w:cstheme="majorHAnsi"/>
          <w:sz w:val="24"/>
          <w:szCs w:val="24"/>
        </w:rPr>
        <w:t xml:space="preserve"> utilizarea în comun a bazelor de date, precum și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de sprijin dedicate rezervei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w:t>
      </w:r>
      <w:r w:rsidR="00291CE1" w:rsidRPr="000D1EF3">
        <w:rPr>
          <w:rFonts w:asciiTheme="majorHAnsi" w:hAnsiTheme="majorHAnsi" w:cstheme="majorHAnsi"/>
          <w:sz w:val="24"/>
          <w:szCs w:val="24"/>
        </w:rPr>
        <w:t>e</w:t>
      </w:r>
      <w:r w:rsidRPr="000D1EF3">
        <w:rPr>
          <w:rFonts w:asciiTheme="majorHAnsi" w:hAnsiTheme="majorHAnsi" w:cstheme="majorHAnsi"/>
          <w:sz w:val="24"/>
          <w:szCs w:val="24"/>
        </w:rPr>
        <w:t xml:space="preserve"> EBCGT.</w:t>
      </w:r>
    </w:p>
    <w:p w14:paraId="000000B2" w14:textId="619BAFFC" w:rsidR="00C62A9B" w:rsidRPr="000D1EF3" w:rsidRDefault="00D11CD4">
      <w:pPr>
        <w:tabs>
          <w:tab w:val="left" w:pos="8364"/>
        </w:tabs>
        <w:spacing w:before="240" w:after="240"/>
        <w:jc w:val="both"/>
        <w:rPr>
          <w:rFonts w:asciiTheme="majorHAnsi" w:hAnsiTheme="majorHAnsi" w:cstheme="majorHAnsi"/>
          <w:sz w:val="24"/>
          <w:szCs w:val="24"/>
        </w:rPr>
      </w:pPr>
      <w:r w:rsidRPr="000D1EF3">
        <w:rPr>
          <w:rFonts w:asciiTheme="majorHAnsi" w:hAnsiTheme="majorHAnsi" w:cstheme="majorHAnsi"/>
          <w:sz w:val="24"/>
          <w:szCs w:val="24"/>
        </w:rPr>
        <w:t>În domeniul instruirii și perfec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în managementul integrat al frontierei, din IMFV, RO va viza, printre altele,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iuni pentru dezvoltarea resurselor umane implicate în managementul frontierelor, </w:t>
      </w:r>
      <w:r w:rsidRPr="000D1EF3">
        <w:rPr>
          <w:rFonts w:asciiTheme="majorHAnsi" w:hAnsiTheme="majorHAnsi" w:cstheme="majorHAnsi"/>
          <w:sz w:val="24"/>
          <w:szCs w:val="24"/>
        </w:rPr>
        <w:lastRenderedPageBreak/>
        <w:t>în special prin implementarea unor programe de pregătire teoretică și aplicativă bazate pe standardele europene de pregătire în domeniu, conform Concep</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privind dezvoltarea sistemului de formare profesională la nivelul PFR în perioada 2019-2024, inclusiv în domeniul biometriei și drepturilor fundamentale.</w:t>
      </w:r>
    </w:p>
    <w:p w14:paraId="000000B4" w14:textId="77777777" w:rsidR="00C62A9B" w:rsidRPr="000D1EF3" w:rsidRDefault="00C62A9B">
      <w:pPr>
        <w:tabs>
          <w:tab w:val="left" w:pos="8364"/>
        </w:tabs>
        <w:spacing w:after="120" w:line="240" w:lineRule="auto"/>
        <w:ind w:left="140"/>
        <w:jc w:val="both"/>
        <w:rPr>
          <w:rFonts w:asciiTheme="majorHAnsi" w:hAnsiTheme="majorHAnsi" w:cstheme="majorHAnsi"/>
          <w:sz w:val="24"/>
          <w:szCs w:val="24"/>
        </w:rPr>
      </w:pPr>
    </w:p>
    <w:p w14:paraId="000000B5" w14:textId="25E58480" w:rsidR="00C62A9B" w:rsidRPr="000D1EF3" w:rsidRDefault="00D11CD4" w:rsidP="00E43440">
      <w:pPr>
        <w:pStyle w:val="Heading2"/>
      </w:pPr>
      <w:bookmarkStart w:id="21" w:name="_Toc78795667"/>
      <w:r w:rsidRPr="000D1EF3">
        <w:t>OS1.6 - Sprijin opera</w:t>
      </w:r>
      <w:r w:rsidR="00812FFF" w:rsidRPr="000D1EF3">
        <w:t>ț</w:t>
      </w:r>
      <w:r w:rsidRPr="000D1EF3">
        <w:t>ional - frontiere</w:t>
      </w:r>
      <w:bookmarkEnd w:id="21"/>
    </w:p>
    <w:p w14:paraId="000000B6" w14:textId="3AC9AB26"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temeiul prevederilor art. 16 al Regulamentului IMFV, RO va utiliza sprijinul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pentru îndeplinirea obiectivului specific al IMFV prin gestionarea europeană integrată a frontierelor. </w:t>
      </w:r>
    </w:p>
    <w:p w14:paraId="000000B7" w14:textId="6F8F4448" w:rsidR="00C62A9B" w:rsidRPr="000D1EF3" w:rsidRDefault="00D11CD4">
      <w:pPr>
        <w:tabs>
          <w:tab w:val="left" w:pos="8364"/>
        </w:tabs>
        <w:spacing w:after="120" w:line="240" w:lineRule="auto"/>
        <w:jc w:val="both"/>
        <w:rPr>
          <w:rFonts w:asciiTheme="majorHAnsi" w:hAnsiTheme="majorHAnsi" w:cstheme="majorHAnsi"/>
          <w:b/>
          <w:sz w:val="24"/>
          <w:szCs w:val="24"/>
        </w:rPr>
      </w:pPr>
      <w:r w:rsidRPr="000D1EF3">
        <w:rPr>
          <w:rFonts w:asciiTheme="majorHAnsi" w:hAnsiTheme="majorHAnsi" w:cstheme="majorHAnsi"/>
          <w:sz w:val="24"/>
          <w:szCs w:val="24"/>
        </w:rPr>
        <w:t>Principalele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ate de RO sunt </w:t>
      </w:r>
      <w:r w:rsidRPr="000D1EF3">
        <w:rPr>
          <w:rFonts w:asciiTheme="majorHAnsi" w:hAnsiTheme="majorHAnsi" w:cstheme="majorHAnsi"/>
          <w:b/>
          <w:sz w:val="24"/>
          <w:szCs w:val="24"/>
        </w:rPr>
        <w:t>mentenan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a sistemelor de supraveghere</w:t>
      </w:r>
      <w:r w:rsidRPr="000D1EF3">
        <w:rPr>
          <w:rFonts w:asciiTheme="majorHAnsi" w:hAnsiTheme="majorHAnsi" w:cstheme="majorHAnsi"/>
          <w:sz w:val="24"/>
          <w:szCs w:val="24"/>
        </w:rPr>
        <w:t xml:space="preserve"> și </w:t>
      </w:r>
      <w:r w:rsidRPr="000D1EF3">
        <w:rPr>
          <w:rFonts w:asciiTheme="majorHAnsi" w:hAnsiTheme="majorHAnsi" w:cstheme="majorHAnsi"/>
          <w:b/>
          <w:sz w:val="24"/>
          <w:szCs w:val="24"/>
        </w:rPr>
        <w:t>mentenan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a sistemelor IT pentru controlul și supravegherea frontierelor.</w:t>
      </w:r>
    </w:p>
    <w:p w14:paraId="000000B8" w14:textId="5778024E" w:rsidR="00C62A9B" w:rsidRPr="000D1EF3" w:rsidRDefault="00D11CD4">
      <w:pPr>
        <w:pBdr>
          <w:top w:val="nil"/>
          <w:left w:val="nil"/>
          <w:bottom w:val="nil"/>
          <w:right w:val="nil"/>
          <w:between w:val="nil"/>
        </w:pBd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Între</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inerea sau repararea</w:t>
      </w:r>
      <w:r w:rsidRPr="000D1EF3">
        <w:rPr>
          <w:rFonts w:asciiTheme="majorHAnsi" w:hAnsiTheme="majorHAnsi" w:cstheme="majorHAnsi"/>
          <w:b/>
          <w:color w:val="000000"/>
          <w:sz w:val="24"/>
          <w:szCs w:val="24"/>
        </w:rPr>
        <w:t xml:space="preserve"> </w:t>
      </w:r>
      <w:r w:rsidRPr="000D1EF3">
        <w:rPr>
          <w:rFonts w:asciiTheme="majorHAnsi" w:hAnsiTheme="majorHAnsi" w:cstheme="majorHAnsi"/>
          <w:b/>
          <w:sz w:val="24"/>
          <w:szCs w:val="24"/>
        </w:rPr>
        <w:t>echipamentelor</w:t>
      </w:r>
      <w:r w:rsidRPr="000D1EF3">
        <w:rPr>
          <w:rFonts w:asciiTheme="majorHAnsi" w:hAnsiTheme="majorHAnsi" w:cstheme="majorHAnsi"/>
          <w:b/>
          <w:color w:val="000000"/>
          <w:sz w:val="24"/>
          <w:szCs w:val="24"/>
        </w:rPr>
        <w:t xml:space="preserve"> și infrastructurii aferente sistemelor de supraveghere la frontierele externe</w:t>
      </w:r>
      <w:r w:rsidRPr="000D1EF3">
        <w:rPr>
          <w:rFonts w:asciiTheme="majorHAnsi" w:hAnsiTheme="majorHAnsi" w:cstheme="majorHAnsi"/>
          <w:color w:val="000000"/>
          <w:sz w:val="24"/>
          <w:szCs w:val="24"/>
        </w:rPr>
        <w:t xml:space="preserve"> </w:t>
      </w:r>
      <w:r w:rsidRPr="000D1EF3">
        <w:rPr>
          <w:rFonts w:asciiTheme="majorHAnsi" w:hAnsiTheme="majorHAnsi" w:cstheme="majorHAnsi"/>
          <w:sz w:val="24"/>
          <w:szCs w:val="24"/>
        </w:rPr>
        <w:t>contribuie direct și concret la obiectivul EIBM, întrucât sistemele de supraveghere fixe instalate la frontiera externă a UE, sistemele mobile și portabile de supraveghere și mijloacele de mobilitate terestră și navală asigură suportul tehnic pentru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unui nivel ridicat de supraveghere și control la frontierele externe UE și sus</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eforturilor europene pe linia prevenirii și combaterii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ilegale și a criminalită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transfrontaliere. Având în vedere regimul intensiv și vechimea în exploatare, prescrip</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tehnice, precum și expirarea perioadei de garan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în scopul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inerii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și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specifică ale PFR, este necesară realizarea mentenan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acestor sisteme și mijloace de supraveghere.</w:t>
      </w:r>
    </w:p>
    <w:p w14:paraId="000000B9" w14:textId="05D4D37E"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Gestionarea opera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ională și între</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inerea sistemelor IT pentru managementul frontierelor</w:t>
      </w:r>
      <w:r w:rsidRPr="000D1EF3">
        <w:rPr>
          <w:rFonts w:asciiTheme="majorHAnsi" w:hAnsiTheme="majorHAnsi" w:cstheme="majorHAnsi"/>
          <w:sz w:val="24"/>
          <w:szCs w:val="24"/>
        </w:rPr>
        <w:t>, în vederea asigurării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 continuă, la parametri optimi și în acord cu noile specifica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tehnice operate la nivel central, are o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majoră la obiectivul specific întrucât asigurarea mentenan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și dezvoltării sistemelor IT&amp;C are un rol determinant privind capacitatea de îndeplinire a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RO în ceea ce privește controlul și supravegherea frontierelor.</w:t>
      </w:r>
    </w:p>
    <w:p w14:paraId="000000BA" w14:textId="77777777" w:rsidR="00C62A9B" w:rsidRPr="000D1EF3" w:rsidRDefault="00D11CD4">
      <w:pPr>
        <w:pBdr>
          <w:top w:val="nil"/>
          <w:left w:val="nil"/>
          <w:bottom w:val="nil"/>
          <w:right w:val="nil"/>
          <w:between w:val="nil"/>
        </w:pBdr>
        <w:tabs>
          <w:tab w:val="left" w:pos="8364"/>
        </w:tabs>
        <w:spacing w:after="0" w:line="240" w:lineRule="auto"/>
        <w:jc w:val="both"/>
        <w:rPr>
          <w:rFonts w:asciiTheme="majorHAnsi" w:hAnsiTheme="majorHAnsi" w:cstheme="majorHAnsi"/>
          <w:color w:val="000000"/>
          <w:sz w:val="24"/>
          <w:szCs w:val="24"/>
        </w:rPr>
      </w:pPr>
      <w:r w:rsidRPr="000D1EF3">
        <w:rPr>
          <w:rFonts w:asciiTheme="majorHAnsi" w:hAnsiTheme="majorHAnsi" w:cstheme="majorHAnsi"/>
          <w:sz w:val="24"/>
          <w:szCs w:val="24"/>
        </w:rPr>
        <w:t>Principalii b</w:t>
      </w:r>
      <w:r w:rsidRPr="000D1EF3">
        <w:rPr>
          <w:rFonts w:asciiTheme="majorHAnsi" w:hAnsiTheme="majorHAnsi" w:cstheme="majorHAnsi"/>
          <w:color w:val="000000"/>
          <w:sz w:val="24"/>
          <w:szCs w:val="24"/>
        </w:rPr>
        <w:t>eneficiari:</w:t>
      </w:r>
    </w:p>
    <w:p w14:paraId="000000BB" w14:textId="2C86DD92" w:rsidR="00C62A9B" w:rsidRPr="000D1EF3" w:rsidRDefault="00D11CD4">
      <w:pPr>
        <w:pBdr>
          <w:top w:val="nil"/>
          <w:left w:val="nil"/>
          <w:bottom w:val="nil"/>
          <w:right w:val="nil"/>
          <w:between w:val="nil"/>
        </w:pBdr>
        <w:tabs>
          <w:tab w:val="left" w:pos="8364"/>
        </w:tabs>
        <w:spacing w:after="120" w:line="240" w:lineRule="auto"/>
        <w:jc w:val="both"/>
        <w:rPr>
          <w:rFonts w:asciiTheme="majorHAnsi" w:hAnsiTheme="majorHAnsi" w:cstheme="majorHAnsi"/>
          <w:color w:val="000000"/>
          <w:sz w:val="24"/>
          <w:szCs w:val="24"/>
        </w:rPr>
      </w:pPr>
      <w:r w:rsidRPr="000D1EF3">
        <w:rPr>
          <w:rFonts w:asciiTheme="majorHAnsi" w:hAnsiTheme="majorHAnsi" w:cstheme="majorHAnsi"/>
          <w:b/>
          <w:sz w:val="24"/>
          <w:szCs w:val="24"/>
        </w:rPr>
        <w:t>-Poli</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ia de Frontieră Română</w:t>
      </w:r>
      <w:r w:rsidRPr="000D1EF3">
        <w:rPr>
          <w:rFonts w:asciiTheme="majorHAnsi" w:hAnsiTheme="majorHAnsi" w:cstheme="majorHAnsi"/>
          <w:b/>
          <w:color w:val="000000"/>
          <w:sz w:val="24"/>
          <w:szCs w:val="24"/>
        </w:rPr>
        <w:t xml:space="preserve"> </w:t>
      </w:r>
      <w:r w:rsidRPr="000D1EF3">
        <w:rPr>
          <w:rFonts w:asciiTheme="majorHAnsi" w:hAnsiTheme="majorHAnsi" w:cstheme="majorHAnsi"/>
          <w:color w:val="000000"/>
          <w:sz w:val="24"/>
          <w:szCs w:val="24"/>
        </w:rPr>
        <w:t>- este institu</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 xml:space="preserve">ia specializată a </w:t>
      </w:r>
      <w:r w:rsidRPr="000D1EF3">
        <w:rPr>
          <w:rFonts w:asciiTheme="majorHAnsi" w:hAnsiTheme="majorHAnsi" w:cstheme="majorHAnsi"/>
          <w:sz w:val="24"/>
          <w:szCs w:val="24"/>
        </w:rPr>
        <w:t>RO</w:t>
      </w:r>
      <w:r w:rsidRPr="000D1EF3">
        <w:rPr>
          <w:rFonts w:asciiTheme="majorHAnsi" w:hAnsiTheme="majorHAnsi" w:cstheme="majorHAnsi"/>
          <w:color w:val="000000"/>
          <w:sz w:val="24"/>
          <w:szCs w:val="24"/>
        </w:rPr>
        <w:t xml:space="preserve"> din cadrul </w:t>
      </w:r>
      <w:r w:rsidRPr="000D1EF3">
        <w:rPr>
          <w:rFonts w:asciiTheme="majorHAnsi" w:hAnsiTheme="majorHAnsi" w:cstheme="majorHAnsi"/>
          <w:sz w:val="24"/>
          <w:szCs w:val="24"/>
        </w:rPr>
        <w:t xml:space="preserve">MAI </w:t>
      </w:r>
      <w:r w:rsidRPr="000D1EF3">
        <w:rPr>
          <w:rFonts w:asciiTheme="majorHAnsi" w:hAnsiTheme="majorHAnsi" w:cstheme="majorHAnsi"/>
          <w:color w:val="000000"/>
          <w:sz w:val="24"/>
          <w:szCs w:val="24"/>
        </w:rPr>
        <w:t>care exercită atribu</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 xml:space="preserve">iile ce îi revin cu privire la supravegherea </w:t>
      </w:r>
      <w:r w:rsidRPr="000D1EF3">
        <w:rPr>
          <w:rFonts w:asciiTheme="majorHAnsi" w:hAnsiTheme="majorHAnsi" w:cstheme="majorHAnsi"/>
          <w:sz w:val="24"/>
          <w:szCs w:val="24"/>
        </w:rPr>
        <w:t>și</w:t>
      </w:r>
      <w:r w:rsidRPr="000D1EF3">
        <w:rPr>
          <w:rFonts w:asciiTheme="majorHAnsi" w:hAnsiTheme="majorHAnsi" w:cstheme="majorHAnsi"/>
          <w:color w:val="000000"/>
          <w:sz w:val="24"/>
          <w:szCs w:val="24"/>
        </w:rPr>
        <w:t xml:space="preserve"> controlul trecerii frontierei de stat, prevenirea și combaterea migra</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 xml:space="preserve">iei ilegale </w:t>
      </w:r>
      <w:r w:rsidRPr="000D1EF3">
        <w:rPr>
          <w:rFonts w:asciiTheme="majorHAnsi" w:hAnsiTheme="majorHAnsi" w:cstheme="majorHAnsi"/>
          <w:sz w:val="24"/>
          <w:szCs w:val="24"/>
        </w:rPr>
        <w:t>și</w:t>
      </w:r>
      <w:r w:rsidRPr="000D1EF3">
        <w:rPr>
          <w:rFonts w:asciiTheme="majorHAnsi" w:hAnsiTheme="majorHAnsi" w:cstheme="majorHAnsi"/>
          <w:color w:val="000000"/>
          <w:sz w:val="24"/>
          <w:szCs w:val="24"/>
        </w:rPr>
        <w:t xml:space="preserve"> a faptelor specifice criminalită</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ii transfrontaliere săvârșite în zona de competen</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ă, respectarea regimului juridic al frontierei de stat, pașapoartelor si străinilor, respectarea ordinii și liniștii publice în zona de competen</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ă, conform OUG nr. 104/2001</w:t>
      </w:r>
      <w:r w:rsidRPr="000D1EF3">
        <w:rPr>
          <w:rFonts w:asciiTheme="majorHAnsi" w:hAnsiTheme="majorHAnsi" w:cstheme="majorHAnsi"/>
          <w:sz w:val="24"/>
          <w:szCs w:val="24"/>
        </w:rPr>
        <w:t>.</w:t>
      </w:r>
    </w:p>
    <w:p w14:paraId="000000BC" w14:textId="4B71C221"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-Centrul Na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ional SIS </w:t>
      </w:r>
      <w:r w:rsidRPr="000D1EF3">
        <w:rPr>
          <w:rFonts w:asciiTheme="majorHAnsi" w:hAnsiTheme="majorHAnsi" w:cstheme="majorHAnsi"/>
          <w:sz w:val="24"/>
          <w:szCs w:val="24"/>
        </w:rPr>
        <w:t>- este unitatea din MAI, responsabilă cu implementarea,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și securitatea NSIS, cu asigurarea conectării NSIS la SIS central și managementul copiei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 bazei de date centrale a SIS, precum și cu asigurarea accesului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române la NSIS.</w:t>
      </w:r>
    </w:p>
    <w:p w14:paraId="000000BD" w14:textId="1BBAAE26"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 xml:space="preserve">-Centrul de Cooperare </w:t>
      </w:r>
      <w:r w:rsidR="00117B6E" w:rsidRPr="000D1EF3">
        <w:rPr>
          <w:rFonts w:asciiTheme="majorHAnsi" w:hAnsiTheme="majorHAnsi" w:cstheme="majorHAnsi"/>
          <w:b/>
          <w:sz w:val="24"/>
          <w:szCs w:val="24"/>
        </w:rPr>
        <w:t>Poli</w:t>
      </w:r>
      <w:r w:rsidR="00812FFF" w:rsidRPr="000D1EF3">
        <w:rPr>
          <w:rFonts w:asciiTheme="majorHAnsi" w:hAnsiTheme="majorHAnsi" w:cstheme="majorHAnsi"/>
          <w:b/>
          <w:sz w:val="24"/>
          <w:szCs w:val="24"/>
        </w:rPr>
        <w:t>ț</w:t>
      </w:r>
      <w:r w:rsidR="00117B6E" w:rsidRPr="000D1EF3">
        <w:rPr>
          <w:rFonts w:asciiTheme="majorHAnsi" w:hAnsiTheme="majorHAnsi" w:cstheme="majorHAnsi"/>
          <w:b/>
          <w:sz w:val="24"/>
          <w:szCs w:val="24"/>
        </w:rPr>
        <w:t>ienească</w:t>
      </w:r>
      <w:r w:rsidRPr="000D1EF3">
        <w:rPr>
          <w:rFonts w:asciiTheme="majorHAnsi" w:hAnsiTheme="majorHAnsi" w:cstheme="majorHAnsi"/>
          <w:b/>
          <w:sz w:val="24"/>
          <w:szCs w:val="24"/>
        </w:rPr>
        <w:t xml:space="preserve"> </w:t>
      </w:r>
      <w:r w:rsidR="00117B6E" w:rsidRPr="000D1EF3">
        <w:rPr>
          <w:rFonts w:asciiTheme="majorHAnsi" w:hAnsiTheme="majorHAnsi" w:cstheme="majorHAnsi"/>
          <w:b/>
          <w:sz w:val="24"/>
          <w:szCs w:val="24"/>
        </w:rPr>
        <w:t>Interna</w:t>
      </w:r>
      <w:r w:rsidR="00812FFF" w:rsidRPr="000D1EF3">
        <w:rPr>
          <w:rFonts w:asciiTheme="majorHAnsi" w:hAnsiTheme="majorHAnsi" w:cstheme="majorHAnsi"/>
          <w:b/>
          <w:sz w:val="24"/>
          <w:szCs w:val="24"/>
        </w:rPr>
        <w:t>ț</w:t>
      </w:r>
      <w:r w:rsidR="00117B6E" w:rsidRPr="000D1EF3">
        <w:rPr>
          <w:rFonts w:asciiTheme="majorHAnsi" w:hAnsiTheme="majorHAnsi" w:cstheme="majorHAnsi"/>
          <w:b/>
          <w:sz w:val="24"/>
          <w:szCs w:val="24"/>
        </w:rPr>
        <w:t>ională</w:t>
      </w:r>
      <w:r w:rsidRPr="000D1EF3">
        <w:rPr>
          <w:rFonts w:asciiTheme="majorHAnsi" w:hAnsiTheme="majorHAnsi" w:cstheme="majorHAnsi"/>
          <w:sz w:val="24"/>
          <w:szCs w:val="24"/>
        </w:rPr>
        <w:t xml:space="preserve"> din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Română - este autoritatea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centrală în domeniul cooperării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ienești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fiind specializată în schimbul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operative în domeniul combaterii criminalită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la nivel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și, potrivit legii, asigură schimbul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operative în domeniul combaterii criminalită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transfrontaliere, precum și gestionarea fluxului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de interes operativ aferent cooperării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derulate de structurile specializate ale MAI.</w:t>
      </w:r>
    </w:p>
    <w:p w14:paraId="000000BE" w14:textId="77777777" w:rsidR="00C62A9B" w:rsidRPr="000D1EF3" w:rsidRDefault="00D11CD4">
      <w:pPr>
        <w:tabs>
          <w:tab w:val="left" w:pos="8364"/>
        </w:tabs>
        <w:spacing w:after="120" w:line="240" w:lineRule="auto"/>
        <w:ind w:left="140"/>
        <w:jc w:val="both"/>
        <w:rPr>
          <w:rFonts w:asciiTheme="majorHAnsi" w:hAnsiTheme="majorHAnsi" w:cstheme="majorHAnsi"/>
          <w:sz w:val="24"/>
          <w:szCs w:val="24"/>
        </w:rPr>
      </w:pPr>
      <w:r w:rsidRPr="000D1EF3">
        <w:rPr>
          <w:rFonts w:asciiTheme="majorHAnsi" w:hAnsiTheme="majorHAnsi" w:cstheme="majorHAnsi"/>
          <w:sz w:val="24"/>
          <w:szCs w:val="24"/>
        </w:rPr>
        <w:t xml:space="preserve"> </w:t>
      </w:r>
    </w:p>
    <w:p w14:paraId="000000BF" w14:textId="0CD059FC" w:rsidR="00C62A9B" w:rsidRPr="000D1EF3" w:rsidRDefault="00D11CD4">
      <w:pPr>
        <w:tabs>
          <w:tab w:val="left" w:pos="8364"/>
        </w:tabs>
        <w:spacing w:after="120" w:line="240" w:lineRule="auto"/>
        <w:ind w:left="140"/>
        <w:jc w:val="both"/>
        <w:rPr>
          <w:rFonts w:asciiTheme="majorHAnsi" w:hAnsiTheme="majorHAnsi" w:cstheme="majorHAnsi"/>
          <w:sz w:val="24"/>
          <w:szCs w:val="24"/>
        </w:rPr>
      </w:pPr>
      <w:r w:rsidRPr="000D1EF3">
        <w:rPr>
          <w:rFonts w:asciiTheme="majorHAnsi" w:hAnsiTheme="majorHAnsi" w:cstheme="majorHAnsi"/>
          <w:b/>
          <w:sz w:val="24"/>
          <w:szCs w:val="24"/>
        </w:rPr>
        <w:t>Ac</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iunile</w:t>
      </w:r>
      <w:r w:rsidRPr="000D1EF3">
        <w:rPr>
          <w:rFonts w:asciiTheme="majorHAnsi" w:hAnsiTheme="majorHAnsi" w:cstheme="majorHAnsi"/>
          <w:sz w:val="24"/>
          <w:szCs w:val="24"/>
        </w:rPr>
        <w:t xml:space="preserve"> propuse de RO pentru sprijin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se încadrează în Anexa VII a Regulamentului IMFV, astfel:</w:t>
      </w:r>
    </w:p>
    <w:p w14:paraId="000000C0" w14:textId="40AE66FE" w:rsidR="00C62A9B" w:rsidRPr="000D1EF3" w:rsidRDefault="00D11CD4">
      <w:pPr>
        <w:numPr>
          <w:ilvl w:val="0"/>
          <w:numId w:val="1"/>
        </w:numPr>
        <w:pBdr>
          <w:top w:val="nil"/>
          <w:left w:val="nil"/>
          <w:bottom w:val="nil"/>
          <w:right w:val="nil"/>
          <w:between w:val="nil"/>
        </w:pBdr>
        <w:tabs>
          <w:tab w:val="left" w:pos="8222"/>
        </w:tabs>
        <w:spacing w:after="0" w:line="240" w:lineRule="auto"/>
        <w:jc w:val="both"/>
        <w:rPr>
          <w:rFonts w:asciiTheme="majorHAnsi" w:hAnsiTheme="majorHAnsi" w:cstheme="majorHAnsi"/>
          <w:color w:val="000000"/>
          <w:sz w:val="24"/>
          <w:szCs w:val="24"/>
        </w:rPr>
      </w:pPr>
      <w:r w:rsidRPr="000D1EF3">
        <w:rPr>
          <w:rFonts w:asciiTheme="majorHAnsi" w:hAnsiTheme="majorHAnsi" w:cstheme="majorHAnsi"/>
          <w:color w:val="000000"/>
          <w:sz w:val="24"/>
          <w:szCs w:val="24"/>
        </w:rPr>
        <w:lastRenderedPageBreak/>
        <w:t>între</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inerea sau repararea echipamentelor și a infrastructurii, inclusiv a clădirilor și a drumurilor de acces;</w:t>
      </w:r>
    </w:p>
    <w:p w14:paraId="000000C1" w14:textId="3553B723" w:rsidR="00C62A9B" w:rsidRPr="000D1EF3" w:rsidRDefault="00D11CD4">
      <w:pPr>
        <w:numPr>
          <w:ilvl w:val="0"/>
          <w:numId w:val="1"/>
        </w:numPr>
        <w:pBdr>
          <w:top w:val="nil"/>
          <w:left w:val="nil"/>
          <w:bottom w:val="nil"/>
          <w:right w:val="nil"/>
          <w:between w:val="nil"/>
        </w:pBdr>
        <w:tabs>
          <w:tab w:val="left" w:pos="8222"/>
        </w:tabs>
        <w:spacing w:after="120" w:line="240" w:lineRule="auto"/>
        <w:jc w:val="both"/>
        <w:rPr>
          <w:rFonts w:asciiTheme="majorHAnsi" w:hAnsiTheme="majorHAnsi" w:cstheme="majorHAnsi"/>
          <w:color w:val="000000"/>
          <w:sz w:val="24"/>
          <w:szCs w:val="24"/>
        </w:rPr>
      </w:pPr>
      <w:r w:rsidRPr="000D1EF3">
        <w:rPr>
          <w:rFonts w:asciiTheme="majorHAnsi" w:hAnsiTheme="majorHAnsi" w:cstheme="majorHAnsi"/>
          <w:color w:val="000000"/>
          <w:sz w:val="24"/>
          <w:szCs w:val="24"/>
        </w:rPr>
        <w:t>gestionarea opera</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ională și între</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 xml:space="preserve">inerea sistemelor de </w:t>
      </w:r>
      <w:r w:rsidR="00117B6E" w:rsidRPr="000D1EF3">
        <w:rPr>
          <w:rFonts w:asciiTheme="majorHAnsi" w:hAnsiTheme="majorHAnsi" w:cstheme="majorHAnsi"/>
          <w:color w:val="000000"/>
          <w:sz w:val="24"/>
          <w:szCs w:val="24"/>
        </w:rPr>
        <w:t>informa</w:t>
      </w:r>
      <w:r w:rsidR="00812FFF" w:rsidRPr="000D1EF3">
        <w:rPr>
          <w:rFonts w:asciiTheme="majorHAnsi" w:hAnsiTheme="majorHAnsi" w:cstheme="majorHAnsi"/>
          <w:color w:val="000000"/>
          <w:sz w:val="24"/>
          <w:szCs w:val="24"/>
        </w:rPr>
        <w:t>ț</w:t>
      </w:r>
      <w:r w:rsidR="00117B6E" w:rsidRPr="000D1EF3">
        <w:rPr>
          <w:rFonts w:asciiTheme="majorHAnsi" w:hAnsiTheme="majorHAnsi" w:cstheme="majorHAnsi"/>
          <w:color w:val="000000"/>
          <w:sz w:val="24"/>
          <w:szCs w:val="24"/>
        </w:rPr>
        <w:t>ii</w:t>
      </w:r>
      <w:r w:rsidRPr="000D1EF3">
        <w:rPr>
          <w:rFonts w:asciiTheme="majorHAnsi" w:hAnsiTheme="majorHAnsi" w:cstheme="majorHAnsi"/>
          <w:color w:val="000000"/>
          <w:sz w:val="24"/>
          <w:szCs w:val="24"/>
        </w:rPr>
        <w:t xml:space="preserve"> la scară largă și a infrastructurilor lor de comunica</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ii, inclusiv interoperabilitatea acestor sisteme</w:t>
      </w:r>
    </w:p>
    <w:p w14:paraId="000000C2" w14:textId="77777777" w:rsidR="00C62A9B" w:rsidRPr="000D1EF3" w:rsidRDefault="00C62A9B">
      <w:pPr>
        <w:tabs>
          <w:tab w:val="left" w:pos="9072"/>
        </w:tabs>
        <w:spacing w:after="120" w:line="240" w:lineRule="auto"/>
        <w:ind w:left="140" w:right="500"/>
        <w:jc w:val="both"/>
        <w:rPr>
          <w:rFonts w:asciiTheme="majorHAnsi" w:hAnsiTheme="majorHAnsi" w:cstheme="majorHAnsi"/>
          <w:sz w:val="24"/>
          <w:szCs w:val="24"/>
        </w:rPr>
      </w:pPr>
    </w:p>
    <w:p w14:paraId="000000C3" w14:textId="77777777" w:rsidR="00C62A9B" w:rsidRPr="000D1EF3" w:rsidRDefault="00C62A9B">
      <w:pPr>
        <w:tabs>
          <w:tab w:val="left" w:pos="9072"/>
        </w:tabs>
        <w:spacing w:after="120" w:line="240" w:lineRule="auto"/>
        <w:ind w:left="140" w:right="500"/>
        <w:jc w:val="both"/>
        <w:rPr>
          <w:rFonts w:asciiTheme="majorHAnsi" w:hAnsiTheme="majorHAnsi" w:cstheme="majorHAnsi"/>
          <w:sz w:val="24"/>
          <w:szCs w:val="24"/>
        </w:rPr>
      </w:pPr>
    </w:p>
    <w:p w14:paraId="000000C4" w14:textId="77777777" w:rsidR="00C62A9B" w:rsidRPr="000D1EF3" w:rsidRDefault="00C62A9B">
      <w:pPr>
        <w:tabs>
          <w:tab w:val="left" w:pos="9072"/>
        </w:tabs>
        <w:spacing w:after="120" w:line="240" w:lineRule="auto"/>
        <w:ind w:left="140" w:right="500"/>
        <w:jc w:val="both"/>
        <w:rPr>
          <w:rFonts w:asciiTheme="majorHAnsi" w:hAnsiTheme="majorHAnsi" w:cstheme="majorHAnsi"/>
          <w:sz w:val="24"/>
          <w:szCs w:val="24"/>
        </w:rPr>
      </w:pPr>
    </w:p>
    <w:p w14:paraId="000000C5" w14:textId="77777777" w:rsidR="00C62A9B" w:rsidRPr="000D1EF3" w:rsidRDefault="00C62A9B">
      <w:pPr>
        <w:spacing w:after="120" w:line="240" w:lineRule="auto"/>
        <w:rPr>
          <w:rFonts w:asciiTheme="majorHAnsi" w:hAnsiTheme="majorHAnsi" w:cstheme="majorHAnsi"/>
          <w:b/>
          <w:sz w:val="24"/>
          <w:szCs w:val="24"/>
        </w:rPr>
        <w:sectPr w:rsidR="00C62A9B" w:rsidRPr="000D1EF3" w:rsidSect="00812FF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67" w:left="1134" w:header="567" w:footer="567" w:gutter="0"/>
          <w:pgNumType w:start="1"/>
          <w:cols w:space="720"/>
        </w:sectPr>
      </w:pPr>
    </w:p>
    <w:p w14:paraId="000000C6" w14:textId="77777777" w:rsidR="00C62A9B" w:rsidRPr="000D1EF3" w:rsidRDefault="00D11CD4" w:rsidP="00E43440">
      <w:pPr>
        <w:pStyle w:val="Heading2"/>
      </w:pPr>
      <w:bookmarkStart w:id="22" w:name="_Toc78795668"/>
      <w:r w:rsidRPr="000D1EF3">
        <w:lastRenderedPageBreak/>
        <w:t>2.1.2. Indicatori</w:t>
      </w:r>
      <w:bookmarkEnd w:id="22"/>
    </w:p>
    <w:p w14:paraId="000000C7"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(4) litera (e) din RDC</w:t>
      </w:r>
    </w:p>
    <w:tbl>
      <w:tblPr>
        <w:tblStyle w:val="a1"/>
        <w:tblW w:w="14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000" w:firstRow="0" w:lastRow="0" w:firstColumn="0" w:lastColumn="0" w:noHBand="0" w:noVBand="0"/>
      </w:tblPr>
      <w:tblGrid>
        <w:gridCol w:w="555"/>
        <w:gridCol w:w="1140"/>
        <w:gridCol w:w="8055"/>
        <w:gridCol w:w="1350"/>
        <w:gridCol w:w="2070"/>
        <w:gridCol w:w="1695"/>
      </w:tblGrid>
      <w:tr w:rsidR="00C62A9B" w:rsidRPr="000D1EF3" w14:paraId="6913B2CF" w14:textId="77777777" w:rsidTr="000D1EF3">
        <w:trPr>
          <w:trHeight w:val="425"/>
        </w:trPr>
        <w:tc>
          <w:tcPr>
            <w:tcW w:w="14865" w:type="dxa"/>
            <w:gridSpan w:val="6"/>
          </w:tcPr>
          <w:p w14:paraId="000000C8"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Tabelul 1: Indicatori de realizare</w:t>
            </w:r>
          </w:p>
        </w:tc>
      </w:tr>
      <w:tr w:rsidR="00C62A9B" w:rsidRPr="000D1EF3" w14:paraId="33BFB16D" w14:textId="77777777" w:rsidTr="000D1EF3">
        <w:trPr>
          <w:trHeight w:val="656"/>
        </w:trPr>
        <w:tc>
          <w:tcPr>
            <w:tcW w:w="555" w:type="dxa"/>
            <w:shd w:val="clear" w:color="auto" w:fill="C9DAF8"/>
          </w:tcPr>
          <w:p w14:paraId="000000CE" w14:textId="77777777" w:rsidR="00C62A9B" w:rsidRPr="000D1EF3" w:rsidRDefault="00D11CD4" w:rsidP="000D1EF3">
            <w:pPr>
              <w:rPr>
                <w:rFonts w:asciiTheme="majorHAnsi" w:hAnsiTheme="majorHAnsi" w:cstheme="majorHAnsi"/>
                <w:b/>
                <w:sz w:val="16"/>
                <w:szCs w:val="16"/>
              </w:rPr>
            </w:pPr>
            <w:r w:rsidRPr="000D1EF3">
              <w:rPr>
                <w:rFonts w:asciiTheme="majorHAnsi" w:hAnsiTheme="majorHAnsi" w:cstheme="majorHAnsi"/>
                <w:b/>
                <w:sz w:val="16"/>
                <w:szCs w:val="16"/>
              </w:rPr>
              <w:t>Obiectiv specific</w:t>
            </w:r>
          </w:p>
        </w:tc>
        <w:tc>
          <w:tcPr>
            <w:tcW w:w="1140" w:type="dxa"/>
            <w:shd w:val="clear" w:color="auto" w:fill="C9DAF8"/>
          </w:tcPr>
          <w:p w14:paraId="000000CF"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ID [5]</w:t>
            </w:r>
          </w:p>
        </w:tc>
        <w:tc>
          <w:tcPr>
            <w:tcW w:w="8055" w:type="dxa"/>
            <w:shd w:val="clear" w:color="auto" w:fill="C9DAF8"/>
          </w:tcPr>
          <w:p w14:paraId="000000D0"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 xml:space="preserve">Indicator [255] </w:t>
            </w:r>
          </w:p>
        </w:tc>
        <w:tc>
          <w:tcPr>
            <w:tcW w:w="1350" w:type="dxa"/>
            <w:shd w:val="clear" w:color="auto" w:fill="C9DAF8"/>
          </w:tcPr>
          <w:p w14:paraId="000000D1"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Unitate de măsură</w:t>
            </w:r>
          </w:p>
        </w:tc>
        <w:tc>
          <w:tcPr>
            <w:tcW w:w="2070" w:type="dxa"/>
            <w:shd w:val="clear" w:color="auto" w:fill="C9DAF8"/>
          </w:tcPr>
          <w:p w14:paraId="000000D2"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Obiectiv de etapă (2024)</w:t>
            </w:r>
          </w:p>
        </w:tc>
        <w:tc>
          <w:tcPr>
            <w:tcW w:w="1695" w:type="dxa"/>
            <w:shd w:val="clear" w:color="auto" w:fill="C9DAF8"/>
          </w:tcPr>
          <w:p w14:paraId="000000D3" w14:textId="542936A1" w:rsidR="00C62A9B" w:rsidRPr="000D1EF3" w:rsidRDefault="00812FFF" w:rsidP="000D1EF3">
            <w:pPr>
              <w:rPr>
                <w:rFonts w:asciiTheme="majorHAnsi" w:hAnsiTheme="majorHAnsi" w:cstheme="majorHAnsi"/>
                <w:b/>
                <w:sz w:val="24"/>
                <w:szCs w:val="24"/>
              </w:rPr>
            </w:pPr>
            <w:r w:rsidRPr="000D1EF3">
              <w:rPr>
                <w:rFonts w:asciiTheme="majorHAnsi" w:hAnsiTheme="majorHAnsi" w:cstheme="majorHAnsi"/>
                <w:b/>
                <w:sz w:val="24"/>
                <w:szCs w:val="24"/>
              </w:rPr>
              <w:t>Ț</w:t>
            </w:r>
            <w:r w:rsidR="00D11CD4" w:rsidRPr="000D1EF3">
              <w:rPr>
                <w:rFonts w:asciiTheme="majorHAnsi" w:hAnsiTheme="majorHAnsi" w:cstheme="majorHAnsi"/>
                <w:b/>
                <w:sz w:val="24"/>
                <w:szCs w:val="24"/>
              </w:rPr>
              <w:t>intă (2029)</w:t>
            </w:r>
          </w:p>
        </w:tc>
      </w:tr>
      <w:tr w:rsidR="00C62A9B" w:rsidRPr="000D1EF3" w14:paraId="5C067099" w14:textId="77777777" w:rsidTr="000D1EF3">
        <w:trPr>
          <w:trHeight w:val="300"/>
        </w:trPr>
        <w:tc>
          <w:tcPr>
            <w:tcW w:w="555" w:type="dxa"/>
            <w:vMerge w:val="restart"/>
          </w:tcPr>
          <w:p w14:paraId="000000D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140" w:type="dxa"/>
          </w:tcPr>
          <w:p w14:paraId="000000D5"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w:t>
            </w:r>
          </w:p>
        </w:tc>
        <w:tc>
          <w:tcPr>
            <w:tcW w:w="8055" w:type="dxa"/>
            <w:shd w:val="clear" w:color="auto" w:fill="auto"/>
          </w:tcPr>
          <w:p w14:paraId="000000D6" w14:textId="4327DA4C"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articole de echipament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 pentru punctele de trecere a frontierei</w:t>
            </w:r>
          </w:p>
        </w:tc>
        <w:tc>
          <w:tcPr>
            <w:tcW w:w="1350" w:type="dxa"/>
          </w:tcPr>
          <w:p w14:paraId="000000D7"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w:t>
            </w:r>
          </w:p>
        </w:tc>
        <w:tc>
          <w:tcPr>
            <w:tcW w:w="2070" w:type="dxa"/>
            <w:shd w:val="clear" w:color="auto" w:fill="auto"/>
          </w:tcPr>
          <w:p w14:paraId="000000D8"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695" w:type="dxa"/>
            <w:shd w:val="clear" w:color="auto" w:fill="auto"/>
          </w:tcPr>
          <w:p w14:paraId="000000D9"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2000</w:t>
            </w:r>
          </w:p>
        </w:tc>
      </w:tr>
      <w:tr w:rsidR="00C62A9B" w:rsidRPr="000D1EF3" w14:paraId="7E1A7ACA" w14:textId="77777777" w:rsidTr="000D1EF3">
        <w:trPr>
          <w:trHeight w:val="300"/>
        </w:trPr>
        <w:tc>
          <w:tcPr>
            <w:tcW w:w="555" w:type="dxa"/>
            <w:vMerge/>
          </w:tcPr>
          <w:p w14:paraId="000000DA"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DB"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1.1</w:t>
            </w:r>
          </w:p>
        </w:tc>
        <w:tc>
          <w:tcPr>
            <w:tcW w:w="8055" w:type="dxa"/>
            <w:shd w:val="clear" w:color="auto" w:fill="auto"/>
          </w:tcPr>
          <w:p w14:paraId="000000DC" w14:textId="00F0D2F9"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por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control automat la frontieră/sisteme de self-service/por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electronice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w:t>
            </w:r>
          </w:p>
        </w:tc>
        <w:tc>
          <w:tcPr>
            <w:tcW w:w="1350" w:type="dxa"/>
          </w:tcPr>
          <w:p w14:paraId="000000DD"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w:t>
            </w:r>
          </w:p>
        </w:tc>
        <w:tc>
          <w:tcPr>
            <w:tcW w:w="2070" w:type="dxa"/>
            <w:shd w:val="clear" w:color="auto" w:fill="auto"/>
          </w:tcPr>
          <w:p w14:paraId="000000DE"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0DF"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6</w:t>
            </w:r>
          </w:p>
        </w:tc>
      </w:tr>
      <w:tr w:rsidR="00C62A9B" w:rsidRPr="000D1EF3" w14:paraId="58E59616" w14:textId="77777777" w:rsidTr="000D1EF3">
        <w:trPr>
          <w:trHeight w:val="300"/>
        </w:trPr>
        <w:tc>
          <w:tcPr>
            <w:tcW w:w="555" w:type="dxa"/>
            <w:vMerge/>
          </w:tcPr>
          <w:p w14:paraId="000000E0"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E1"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w:t>
            </w:r>
          </w:p>
        </w:tc>
        <w:tc>
          <w:tcPr>
            <w:tcW w:w="8055" w:type="dxa"/>
            <w:shd w:val="clear" w:color="auto" w:fill="auto"/>
          </w:tcPr>
          <w:p w14:paraId="000000E2" w14:textId="1E8ADFE6"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sz w:val="24"/>
                <w:szCs w:val="24"/>
              </w:rPr>
              <w:t>Numărul de elemente de infrastructură 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inute/reparate</w:t>
            </w:r>
          </w:p>
        </w:tc>
        <w:tc>
          <w:tcPr>
            <w:tcW w:w="1350" w:type="dxa"/>
          </w:tcPr>
          <w:p w14:paraId="000000E3"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0E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695" w:type="dxa"/>
            <w:shd w:val="clear" w:color="auto" w:fill="auto"/>
          </w:tcPr>
          <w:p w14:paraId="000000E5"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w:t>
            </w:r>
          </w:p>
        </w:tc>
      </w:tr>
      <w:tr w:rsidR="00C62A9B" w:rsidRPr="000D1EF3" w14:paraId="7ABBA9D2" w14:textId="77777777" w:rsidTr="000D1EF3">
        <w:trPr>
          <w:trHeight w:val="43"/>
        </w:trPr>
        <w:tc>
          <w:tcPr>
            <w:tcW w:w="555" w:type="dxa"/>
            <w:vMerge/>
          </w:tcPr>
          <w:p w14:paraId="000000E6"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E7"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3</w:t>
            </w:r>
          </w:p>
        </w:tc>
        <w:tc>
          <w:tcPr>
            <w:tcW w:w="8055" w:type="dxa"/>
            <w:shd w:val="clear" w:color="auto" w:fill="auto"/>
          </w:tcPr>
          <w:p w14:paraId="000000E9" w14:textId="5AB36ED0"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 xml:space="preserve">Numărul de zone </w:t>
            </w:r>
            <w:proofErr w:type="spellStart"/>
            <w:r w:rsidRPr="000D1EF3">
              <w:rPr>
                <w:rFonts w:asciiTheme="majorHAnsi" w:hAnsiTheme="majorHAnsi" w:cstheme="majorHAnsi"/>
                <w:sz w:val="24"/>
                <w:szCs w:val="24"/>
              </w:rPr>
              <w:t>hotspot</w:t>
            </w:r>
            <w:proofErr w:type="spellEnd"/>
            <w:r w:rsidRPr="000D1EF3">
              <w:rPr>
                <w:rFonts w:asciiTheme="majorHAnsi" w:hAnsiTheme="majorHAnsi" w:cstheme="majorHAnsi"/>
                <w:sz w:val="24"/>
                <w:szCs w:val="24"/>
              </w:rPr>
              <w:t xml:space="preserve"> care beneficiază de sprijin</w:t>
            </w:r>
          </w:p>
        </w:tc>
        <w:tc>
          <w:tcPr>
            <w:tcW w:w="1350" w:type="dxa"/>
          </w:tcPr>
          <w:p w14:paraId="000000EA"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0EB"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0EC"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r>
      <w:tr w:rsidR="00C62A9B" w:rsidRPr="000D1EF3" w14:paraId="0C6EE9B5" w14:textId="77777777" w:rsidTr="000D1EF3">
        <w:trPr>
          <w:trHeight w:val="300"/>
        </w:trPr>
        <w:tc>
          <w:tcPr>
            <w:tcW w:w="555" w:type="dxa"/>
            <w:vMerge/>
          </w:tcPr>
          <w:p w14:paraId="000000ED"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EE"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4</w:t>
            </w:r>
          </w:p>
        </w:tc>
        <w:tc>
          <w:tcPr>
            <w:tcW w:w="8055" w:type="dxa"/>
            <w:shd w:val="clear" w:color="auto" w:fill="auto"/>
          </w:tcPr>
          <w:p w14:paraId="000000EF" w14:textId="5DE70E85"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facilită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pentru punctele de trecere a frontierei construite/modernizate</w:t>
            </w:r>
          </w:p>
        </w:tc>
        <w:tc>
          <w:tcPr>
            <w:tcW w:w="1350" w:type="dxa"/>
          </w:tcPr>
          <w:p w14:paraId="000000F0"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 xml:space="preserve">Număr </w:t>
            </w:r>
          </w:p>
        </w:tc>
        <w:tc>
          <w:tcPr>
            <w:tcW w:w="2070" w:type="dxa"/>
            <w:shd w:val="clear" w:color="auto" w:fill="auto"/>
          </w:tcPr>
          <w:p w14:paraId="000000F1"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0F2"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4</w:t>
            </w:r>
          </w:p>
        </w:tc>
      </w:tr>
      <w:tr w:rsidR="00C62A9B" w:rsidRPr="000D1EF3" w14:paraId="16088785" w14:textId="77777777" w:rsidTr="000D1EF3">
        <w:trPr>
          <w:trHeight w:val="300"/>
        </w:trPr>
        <w:tc>
          <w:tcPr>
            <w:tcW w:w="555" w:type="dxa"/>
            <w:vMerge/>
          </w:tcPr>
          <w:p w14:paraId="000000F3"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F4"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5</w:t>
            </w:r>
          </w:p>
        </w:tc>
        <w:tc>
          <w:tcPr>
            <w:tcW w:w="8055" w:type="dxa"/>
            <w:shd w:val="clear" w:color="auto" w:fill="auto"/>
          </w:tcPr>
          <w:p w14:paraId="000000F5" w14:textId="19CF63A4"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vehicule aeriene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w:t>
            </w:r>
          </w:p>
        </w:tc>
        <w:tc>
          <w:tcPr>
            <w:tcW w:w="1350" w:type="dxa"/>
          </w:tcPr>
          <w:p w14:paraId="000000F6"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0F7"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0F8"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15</w:t>
            </w:r>
          </w:p>
        </w:tc>
      </w:tr>
      <w:tr w:rsidR="00C62A9B" w:rsidRPr="000D1EF3" w14:paraId="6043A6B9" w14:textId="77777777" w:rsidTr="000D1EF3">
        <w:trPr>
          <w:trHeight w:val="300"/>
        </w:trPr>
        <w:tc>
          <w:tcPr>
            <w:tcW w:w="555" w:type="dxa"/>
            <w:vMerge/>
          </w:tcPr>
          <w:p w14:paraId="000000F9"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0FA"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5.1</w:t>
            </w:r>
          </w:p>
        </w:tc>
        <w:tc>
          <w:tcPr>
            <w:tcW w:w="8055" w:type="dxa"/>
            <w:shd w:val="clear" w:color="auto" w:fill="auto"/>
          </w:tcPr>
          <w:p w14:paraId="000000FB" w14:textId="3CFB51AA"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vehicule aeriene fără pilot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w:t>
            </w:r>
          </w:p>
        </w:tc>
        <w:tc>
          <w:tcPr>
            <w:tcW w:w="1350" w:type="dxa"/>
          </w:tcPr>
          <w:p w14:paraId="000000FC"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0FD"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0FE"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15</w:t>
            </w:r>
          </w:p>
        </w:tc>
      </w:tr>
      <w:tr w:rsidR="00C62A9B" w:rsidRPr="000D1EF3" w14:paraId="1E5FE3E5" w14:textId="77777777" w:rsidTr="000D1EF3">
        <w:trPr>
          <w:trHeight w:val="300"/>
        </w:trPr>
        <w:tc>
          <w:tcPr>
            <w:tcW w:w="555" w:type="dxa"/>
            <w:vMerge/>
          </w:tcPr>
          <w:p w14:paraId="000000FF"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00"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6</w:t>
            </w:r>
          </w:p>
        </w:tc>
        <w:tc>
          <w:tcPr>
            <w:tcW w:w="8055" w:type="dxa"/>
            <w:shd w:val="clear" w:color="auto" w:fill="auto"/>
          </w:tcPr>
          <w:p w14:paraId="00000101" w14:textId="02033075"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mijloace de transport maritim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w:t>
            </w:r>
          </w:p>
        </w:tc>
        <w:tc>
          <w:tcPr>
            <w:tcW w:w="1350" w:type="dxa"/>
          </w:tcPr>
          <w:p w14:paraId="00000102"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 xml:space="preserve">Număr </w:t>
            </w:r>
          </w:p>
        </w:tc>
        <w:tc>
          <w:tcPr>
            <w:tcW w:w="2070" w:type="dxa"/>
            <w:shd w:val="clear" w:color="auto" w:fill="auto"/>
          </w:tcPr>
          <w:p w14:paraId="00000103"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37</w:t>
            </w:r>
          </w:p>
        </w:tc>
        <w:tc>
          <w:tcPr>
            <w:tcW w:w="1695" w:type="dxa"/>
            <w:shd w:val="clear" w:color="auto" w:fill="auto"/>
          </w:tcPr>
          <w:p w14:paraId="0000010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12</w:t>
            </w:r>
          </w:p>
        </w:tc>
      </w:tr>
      <w:tr w:rsidR="00C62A9B" w:rsidRPr="000D1EF3" w14:paraId="5FB6961D" w14:textId="77777777" w:rsidTr="000D1EF3">
        <w:trPr>
          <w:trHeight w:val="300"/>
        </w:trPr>
        <w:tc>
          <w:tcPr>
            <w:tcW w:w="555" w:type="dxa"/>
            <w:vMerge/>
          </w:tcPr>
          <w:p w14:paraId="00000105"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06"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7</w:t>
            </w:r>
          </w:p>
        </w:tc>
        <w:tc>
          <w:tcPr>
            <w:tcW w:w="8055" w:type="dxa"/>
            <w:shd w:val="clear" w:color="auto" w:fill="auto"/>
          </w:tcPr>
          <w:p w14:paraId="00000107" w14:textId="3275DBA0"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mijloace de transport terestru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ionate</w:t>
            </w:r>
          </w:p>
        </w:tc>
        <w:tc>
          <w:tcPr>
            <w:tcW w:w="1350" w:type="dxa"/>
          </w:tcPr>
          <w:p w14:paraId="00000108"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09"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695" w:type="dxa"/>
            <w:shd w:val="clear" w:color="auto" w:fill="auto"/>
          </w:tcPr>
          <w:p w14:paraId="0000010A"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350</w:t>
            </w:r>
          </w:p>
        </w:tc>
      </w:tr>
      <w:tr w:rsidR="00C62A9B" w:rsidRPr="000D1EF3" w14:paraId="7AA9D323" w14:textId="77777777" w:rsidTr="000D1EF3">
        <w:trPr>
          <w:trHeight w:val="300"/>
        </w:trPr>
        <w:tc>
          <w:tcPr>
            <w:tcW w:w="555" w:type="dxa"/>
            <w:vMerge/>
          </w:tcPr>
          <w:p w14:paraId="0000010B"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0C"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8</w:t>
            </w:r>
          </w:p>
        </w:tc>
        <w:tc>
          <w:tcPr>
            <w:tcW w:w="8055" w:type="dxa"/>
            <w:shd w:val="clear" w:color="auto" w:fill="auto"/>
          </w:tcPr>
          <w:p w14:paraId="0000010D" w14:textId="71E65463"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au beneficiat de sprijin</w:t>
            </w:r>
          </w:p>
        </w:tc>
        <w:tc>
          <w:tcPr>
            <w:tcW w:w="1350" w:type="dxa"/>
          </w:tcPr>
          <w:p w14:paraId="0000010E"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 xml:space="preserve">Număr </w:t>
            </w:r>
          </w:p>
        </w:tc>
        <w:tc>
          <w:tcPr>
            <w:tcW w:w="2070" w:type="dxa"/>
            <w:shd w:val="clear" w:color="auto" w:fill="auto"/>
          </w:tcPr>
          <w:p w14:paraId="0000010F"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695" w:type="dxa"/>
            <w:shd w:val="clear" w:color="auto" w:fill="auto"/>
          </w:tcPr>
          <w:p w14:paraId="00000110"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325</w:t>
            </w:r>
          </w:p>
        </w:tc>
      </w:tr>
      <w:tr w:rsidR="00C62A9B" w:rsidRPr="000D1EF3" w14:paraId="6015E88A" w14:textId="77777777" w:rsidTr="000D1EF3">
        <w:trPr>
          <w:trHeight w:val="300"/>
        </w:trPr>
        <w:tc>
          <w:tcPr>
            <w:tcW w:w="555" w:type="dxa"/>
            <w:vMerge/>
          </w:tcPr>
          <w:p w14:paraId="00000111"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12"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8.1</w:t>
            </w:r>
          </w:p>
        </w:tc>
        <w:tc>
          <w:tcPr>
            <w:tcW w:w="8055" w:type="dxa"/>
            <w:shd w:val="clear" w:color="auto" w:fill="auto"/>
          </w:tcPr>
          <w:p w14:paraId="00000113" w14:textId="5579A252"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la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formare</w:t>
            </w:r>
          </w:p>
        </w:tc>
        <w:tc>
          <w:tcPr>
            <w:tcW w:w="1350" w:type="dxa"/>
          </w:tcPr>
          <w:p w14:paraId="0000011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15"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695" w:type="dxa"/>
            <w:shd w:val="clear" w:color="auto" w:fill="auto"/>
          </w:tcPr>
          <w:p w14:paraId="00000116"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300</w:t>
            </w:r>
          </w:p>
        </w:tc>
      </w:tr>
      <w:tr w:rsidR="00C62A9B" w:rsidRPr="000D1EF3" w14:paraId="4386D5AB" w14:textId="77777777" w:rsidTr="000D1EF3">
        <w:trPr>
          <w:trHeight w:val="300"/>
        </w:trPr>
        <w:tc>
          <w:tcPr>
            <w:tcW w:w="555" w:type="dxa"/>
            <w:vMerge/>
          </w:tcPr>
          <w:p w14:paraId="00000117"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18"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9</w:t>
            </w:r>
          </w:p>
        </w:tc>
        <w:tc>
          <w:tcPr>
            <w:tcW w:w="8055" w:type="dxa"/>
            <w:shd w:val="clear" w:color="auto" w:fill="auto"/>
          </w:tcPr>
          <w:p w14:paraId="00000119" w14:textId="45D4871C"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trimiteri în comun de ofi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eri de legătură în materie de imigra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în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w:t>
            </w:r>
          </w:p>
        </w:tc>
        <w:tc>
          <w:tcPr>
            <w:tcW w:w="1350" w:type="dxa"/>
          </w:tcPr>
          <w:p w14:paraId="0000011A"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1B"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11C"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2</w:t>
            </w:r>
          </w:p>
        </w:tc>
      </w:tr>
      <w:tr w:rsidR="00C62A9B" w:rsidRPr="000D1EF3" w14:paraId="26BFCB4D" w14:textId="77777777" w:rsidTr="000D1EF3">
        <w:trPr>
          <w:trHeight w:val="300"/>
        </w:trPr>
        <w:tc>
          <w:tcPr>
            <w:tcW w:w="555" w:type="dxa"/>
            <w:vMerge/>
          </w:tcPr>
          <w:p w14:paraId="0000011D"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1E"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10</w:t>
            </w:r>
          </w:p>
        </w:tc>
        <w:tc>
          <w:tcPr>
            <w:tcW w:w="8055" w:type="dxa"/>
            <w:shd w:val="clear" w:color="auto" w:fill="auto"/>
          </w:tcPr>
          <w:p w14:paraId="0000011F" w14:textId="19D10316"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informatice dezvoltate/între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inute/modernizate</w:t>
            </w:r>
          </w:p>
        </w:tc>
        <w:tc>
          <w:tcPr>
            <w:tcW w:w="1350" w:type="dxa"/>
          </w:tcPr>
          <w:p w14:paraId="00000120"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21"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122"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7</w:t>
            </w:r>
          </w:p>
        </w:tc>
      </w:tr>
      <w:tr w:rsidR="00C62A9B" w:rsidRPr="000D1EF3" w14:paraId="26E71C12" w14:textId="77777777" w:rsidTr="000D1EF3">
        <w:trPr>
          <w:trHeight w:val="300"/>
        </w:trPr>
        <w:tc>
          <w:tcPr>
            <w:tcW w:w="555" w:type="dxa"/>
            <w:vMerge/>
          </w:tcPr>
          <w:p w14:paraId="00000123"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24"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11</w:t>
            </w:r>
          </w:p>
        </w:tc>
        <w:tc>
          <w:tcPr>
            <w:tcW w:w="8055" w:type="dxa"/>
            <w:shd w:val="clear" w:color="auto" w:fill="auto"/>
          </w:tcPr>
          <w:p w14:paraId="00000125" w14:textId="233FD291"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sisteme informatice la scară largă dezvoltate/între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inute/modernizate</w:t>
            </w:r>
          </w:p>
        </w:tc>
        <w:tc>
          <w:tcPr>
            <w:tcW w:w="1350" w:type="dxa"/>
          </w:tcPr>
          <w:p w14:paraId="00000126"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27"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128"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w:t>
            </w:r>
          </w:p>
        </w:tc>
      </w:tr>
      <w:tr w:rsidR="00C62A9B" w:rsidRPr="000D1EF3" w14:paraId="0B2CA2E1" w14:textId="77777777" w:rsidTr="000D1EF3">
        <w:trPr>
          <w:trHeight w:val="300"/>
        </w:trPr>
        <w:tc>
          <w:tcPr>
            <w:tcW w:w="555" w:type="dxa"/>
            <w:vMerge/>
          </w:tcPr>
          <w:p w14:paraId="00000129"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2A"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11.1</w:t>
            </w:r>
          </w:p>
        </w:tc>
        <w:tc>
          <w:tcPr>
            <w:tcW w:w="8055" w:type="dxa"/>
            <w:shd w:val="clear" w:color="auto" w:fill="auto"/>
          </w:tcPr>
          <w:p w14:paraId="0000012B" w14:textId="77777777" w:rsidR="00C62A9B" w:rsidRPr="000D1EF3" w:rsidRDefault="00D11CD4" w:rsidP="000D1EF3">
            <w:pPr>
              <w:jc w:val="center"/>
              <w:rPr>
                <w:rFonts w:asciiTheme="majorHAnsi" w:hAnsiTheme="majorHAnsi" w:cstheme="majorHAnsi"/>
                <w:sz w:val="24"/>
                <w:szCs w:val="24"/>
              </w:rPr>
            </w:pPr>
            <w:r w:rsidRPr="000D1EF3">
              <w:rPr>
                <w:rFonts w:asciiTheme="majorHAnsi" w:hAnsiTheme="majorHAnsi" w:cstheme="majorHAnsi"/>
                <w:sz w:val="24"/>
                <w:szCs w:val="24"/>
              </w:rPr>
              <w:t>din care, numărul de sisteme informatice la scară largă dezvoltate</w:t>
            </w:r>
          </w:p>
        </w:tc>
        <w:tc>
          <w:tcPr>
            <w:tcW w:w="1350" w:type="dxa"/>
          </w:tcPr>
          <w:p w14:paraId="0000012C"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2D"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12E"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r>
      <w:tr w:rsidR="00C62A9B" w:rsidRPr="000D1EF3" w14:paraId="4A713807" w14:textId="77777777" w:rsidTr="000D1EF3">
        <w:trPr>
          <w:trHeight w:val="300"/>
        </w:trPr>
        <w:tc>
          <w:tcPr>
            <w:tcW w:w="555" w:type="dxa"/>
            <w:vMerge/>
          </w:tcPr>
          <w:p w14:paraId="0000012F"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30"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12</w:t>
            </w:r>
          </w:p>
        </w:tc>
        <w:tc>
          <w:tcPr>
            <w:tcW w:w="8055" w:type="dxa"/>
            <w:shd w:val="clear" w:color="auto" w:fill="auto"/>
          </w:tcPr>
          <w:p w14:paraId="00000131" w14:textId="6FEDC9A9"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 xml:space="preserve">Numărul de proiecte de cooperare cu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w:t>
            </w:r>
          </w:p>
        </w:tc>
        <w:tc>
          <w:tcPr>
            <w:tcW w:w="1350" w:type="dxa"/>
          </w:tcPr>
          <w:p w14:paraId="00000132"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33"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695" w:type="dxa"/>
            <w:shd w:val="clear" w:color="auto" w:fill="auto"/>
          </w:tcPr>
          <w:p w14:paraId="0000013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w:t>
            </w:r>
          </w:p>
        </w:tc>
      </w:tr>
      <w:tr w:rsidR="00C62A9B" w:rsidRPr="000D1EF3" w14:paraId="747F3769" w14:textId="77777777" w:rsidTr="000D1EF3">
        <w:trPr>
          <w:trHeight w:val="300"/>
        </w:trPr>
        <w:tc>
          <w:tcPr>
            <w:tcW w:w="555" w:type="dxa"/>
            <w:vMerge/>
          </w:tcPr>
          <w:p w14:paraId="00000135" w14:textId="77777777" w:rsidR="00C62A9B" w:rsidRPr="000D1EF3" w:rsidRDefault="00C62A9B" w:rsidP="000D1EF3">
            <w:pPr>
              <w:widowControl w:val="0"/>
              <w:rPr>
                <w:rFonts w:asciiTheme="majorHAnsi" w:hAnsiTheme="majorHAnsi" w:cstheme="majorHAnsi"/>
                <w:b/>
                <w:sz w:val="24"/>
                <w:szCs w:val="24"/>
              </w:rPr>
            </w:pPr>
          </w:p>
        </w:tc>
        <w:tc>
          <w:tcPr>
            <w:tcW w:w="1140" w:type="dxa"/>
          </w:tcPr>
          <w:p w14:paraId="00000136"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13</w:t>
            </w:r>
          </w:p>
        </w:tc>
        <w:tc>
          <w:tcPr>
            <w:tcW w:w="8055" w:type="dxa"/>
            <w:shd w:val="clear" w:color="auto" w:fill="auto"/>
          </w:tcPr>
          <w:p w14:paraId="00000137" w14:textId="3E7EF562"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persoane care au solicitat protec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la punctele de trecere a frontierei</w:t>
            </w:r>
          </w:p>
        </w:tc>
        <w:tc>
          <w:tcPr>
            <w:tcW w:w="1350" w:type="dxa"/>
          </w:tcPr>
          <w:p w14:paraId="00000138"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2070" w:type="dxa"/>
            <w:shd w:val="clear" w:color="auto" w:fill="auto"/>
          </w:tcPr>
          <w:p w14:paraId="00000139" w14:textId="7ACCC18C"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6</w:t>
            </w:r>
            <w:r w:rsidR="000D1EF3">
              <w:rPr>
                <w:rFonts w:asciiTheme="majorHAnsi" w:hAnsiTheme="majorHAnsi" w:cstheme="majorHAnsi"/>
                <w:b/>
                <w:sz w:val="24"/>
                <w:szCs w:val="24"/>
              </w:rPr>
              <w:t>.</w:t>
            </w:r>
            <w:r w:rsidRPr="000D1EF3">
              <w:rPr>
                <w:rFonts w:asciiTheme="majorHAnsi" w:hAnsiTheme="majorHAnsi" w:cstheme="majorHAnsi"/>
                <w:b/>
                <w:sz w:val="24"/>
                <w:szCs w:val="24"/>
              </w:rPr>
              <w:t>000</w:t>
            </w:r>
          </w:p>
        </w:tc>
        <w:tc>
          <w:tcPr>
            <w:tcW w:w="1695" w:type="dxa"/>
            <w:shd w:val="clear" w:color="auto" w:fill="auto"/>
          </w:tcPr>
          <w:p w14:paraId="0000013A" w14:textId="57BCA32C"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20</w:t>
            </w:r>
            <w:r w:rsidR="000D1EF3">
              <w:rPr>
                <w:rFonts w:asciiTheme="majorHAnsi" w:hAnsiTheme="majorHAnsi" w:cstheme="majorHAnsi"/>
                <w:b/>
                <w:sz w:val="24"/>
                <w:szCs w:val="24"/>
              </w:rPr>
              <w:t>.</w:t>
            </w:r>
            <w:r w:rsidRPr="000D1EF3">
              <w:rPr>
                <w:rFonts w:asciiTheme="majorHAnsi" w:hAnsiTheme="majorHAnsi" w:cstheme="majorHAnsi"/>
                <w:b/>
                <w:sz w:val="24"/>
                <w:szCs w:val="24"/>
              </w:rPr>
              <w:t>000</w:t>
            </w:r>
          </w:p>
        </w:tc>
      </w:tr>
    </w:tbl>
    <w:p w14:paraId="0000013B" w14:textId="77777777" w:rsidR="00C62A9B" w:rsidRPr="000D1EF3" w:rsidRDefault="00C62A9B">
      <w:pPr>
        <w:spacing w:after="120" w:line="240" w:lineRule="auto"/>
        <w:rPr>
          <w:rFonts w:asciiTheme="majorHAnsi" w:hAnsiTheme="majorHAnsi" w:cstheme="majorHAnsi"/>
          <w:b/>
          <w:sz w:val="24"/>
          <w:szCs w:val="24"/>
        </w:rPr>
      </w:pP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000" w:firstRow="0" w:lastRow="0" w:firstColumn="0" w:lastColumn="0" w:noHBand="0" w:noVBand="0"/>
      </w:tblPr>
      <w:tblGrid>
        <w:gridCol w:w="740"/>
        <w:gridCol w:w="491"/>
        <w:gridCol w:w="3316"/>
        <w:gridCol w:w="853"/>
        <w:gridCol w:w="916"/>
        <w:gridCol w:w="963"/>
        <w:gridCol w:w="1390"/>
        <w:gridCol w:w="1200"/>
        <w:gridCol w:w="1295"/>
        <w:gridCol w:w="2179"/>
        <w:gridCol w:w="2353"/>
      </w:tblGrid>
      <w:tr w:rsidR="00C62A9B" w:rsidRPr="000D1EF3" w14:paraId="4F7DB34D" w14:textId="77777777" w:rsidTr="000D1EF3">
        <w:tc>
          <w:tcPr>
            <w:tcW w:w="14910" w:type="dxa"/>
            <w:gridSpan w:val="11"/>
            <w:vAlign w:val="center"/>
          </w:tcPr>
          <w:p w14:paraId="0000013C"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Tabel 2: Indicatori de rezultat</w:t>
            </w:r>
          </w:p>
        </w:tc>
      </w:tr>
      <w:tr w:rsidR="00C62A9B" w:rsidRPr="000D1EF3" w14:paraId="24546A10" w14:textId="77777777" w:rsidTr="000D1EF3">
        <w:trPr>
          <w:trHeight w:val="675"/>
        </w:trPr>
        <w:tc>
          <w:tcPr>
            <w:tcW w:w="704" w:type="dxa"/>
            <w:shd w:val="clear" w:color="auto" w:fill="C9DAF8"/>
          </w:tcPr>
          <w:p w14:paraId="00000147" w14:textId="77777777" w:rsidR="00C62A9B" w:rsidRPr="000D1EF3" w:rsidRDefault="00D11CD4" w:rsidP="000D1EF3">
            <w:pPr>
              <w:rPr>
                <w:rFonts w:asciiTheme="majorHAnsi" w:hAnsiTheme="majorHAnsi" w:cstheme="majorHAnsi"/>
                <w:b/>
              </w:rPr>
            </w:pPr>
            <w:r w:rsidRPr="000D1EF3">
              <w:rPr>
                <w:rFonts w:asciiTheme="majorHAnsi" w:hAnsiTheme="majorHAnsi" w:cstheme="majorHAnsi"/>
                <w:b/>
              </w:rPr>
              <w:t>Obiectiv specific</w:t>
            </w:r>
          </w:p>
        </w:tc>
        <w:tc>
          <w:tcPr>
            <w:tcW w:w="466" w:type="dxa"/>
            <w:shd w:val="clear" w:color="auto" w:fill="C9DAF8"/>
          </w:tcPr>
          <w:p w14:paraId="00000148" w14:textId="77777777" w:rsidR="00C62A9B" w:rsidRPr="000D1EF3" w:rsidRDefault="00D11CD4" w:rsidP="000D1EF3">
            <w:pPr>
              <w:rPr>
                <w:rFonts w:asciiTheme="majorHAnsi" w:hAnsiTheme="majorHAnsi" w:cstheme="majorHAnsi"/>
                <w:b/>
              </w:rPr>
            </w:pPr>
            <w:r w:rsidRPr="000D1EF3">
              <w:rPr>
                <w:rFonts w:asciiTheme="majorHAnsi" w:hAnsiTheme="majorHAnsi" w:cstheme="majorHAnsi"/>
                <w:b/>
              </w:rPr>
              <w:t>ID [5]</w:t>
            </w:r>
          </w:p>
        </w:tc>
        <w:tc>
          <w:tcPr>
            <w:tcW w:w="3150" w:type="dxa"/>
            <w:shd w:val="clear" w:color="auto" w:fill="C9DAF8"/>
          </w:tcPr>
          <w:p w14:paraId="00000149" w14:textId="77777777" w:rsidR="00C62A9B" w:rsidRPr="000D1EF3" w:rsidRDefault="00D11CD4" w:rsidP="000D1EF3">
            <w:pPr>
              <w:rPr>
                <w:rFonts w:asciiTheme="majorHAnsi" w:hAnsiTheme="majorHAnsi" w:cstheme="majorHAnsi"/>
                <w:b/>
              </w:rPr>
            </w:pPr>
            <w:r w:rsidRPr="000D1EF3">
              <w:rPr>
                <w:rFonts w:asciiTheme="majorHAnsi" w:hAnsiTheme="majorHAnsi" w:cstheme="majorHAnsi"/>
                <w:b/>
              </w:rPr>
              <w:t>Indicator[255]</w:t>
            </w:r>
          </w:p>
        </w:tc>
        <w:tc>
          <w:tcPr>
            <w:tcW w:w="810" w:type="dxa"/>
            <w:shd w:val="clear" w:color="auto" w:fill="C9DAF8"/>
          </w:tcPr>
          <w:p w14:paraId="0000014A" w14:textId="77777777" w:rsidR="00C62A9B" w:rsidRPr="000D1EF3" w:rsidRDefault="00D11CD4" w:rsidP="000D1EF3">
            <w:pPr>
              <w:rPr>
                <w:rFonts w:asciiTheme="majorHAnsi" w:hAnsiTheme="majorHAnsi" w:cstheme="majorHAnsi"/>
                <w:b/>
              </w:rPr>
            </w:pPr>
            <w:r w:rsidRPr="000D1EF3">
              <w:rPr>
                <w:rFonts w:asciiTheme="majorHAnsi" w:hAnsiTheme="majorHAnsi" w:cstheme="majorHAnsi"/>
                <w:b/>
              </w:rPr>
              <w:t>Unitate de măsură</w:t>
            </w:r>
          </w:p>
        </w:tc>
        <w:tc>
          <w:tcPr>
            <w:tcW w:w="870" w:type="dxa"/>
            <w:shd w:val="clear" w:color="auto" w:fill="C9DAF8"/>
          </w:tcPr>
          <w:p w14:paraId="0000014B" w14:textId="20B95199" w:rsidR="00C62A9B" w:rsidRPr="000D1EF3" w:rsidRDefault="00D11CD4" w:rsidP="000D1EF3">
            <w:pPr>
              <w:rPr>
                <w:rFonts w:asciiTheme="majorHAnsi" w:hAnsiTheme="majorHAnsi" w:cstheme="majorHAnsi"/>
                <w:b/>
              </w:rPr>
            </w:pPr>
            <w:r w:rsidRPr="000D1EF3">
              <w:rPr>
                <w:rFonts w:asciiTheme="majorHAnsi" w:hAnsiTheme="majorHAnsi" w:cstheme="majorHAnsi"/>
                <w:b/>
              </w:rPr>
              <w:t>Referin</w:t>
            </w:r>
            <w:r w:rsidR="00812FFF" w:rsidRPr="000D1EF3">
              <w:rPr>
                <w:rFonts w:asciiTheme="majorHAnsi" w:hAnsiTheme="majorHAnsi" w:cstheme="majorHAnsi"/>
                <w:b/>
              </w:rPr>
              <w:t>ț</w:t>
            </w:r>
            <w:r w:rsidRPr="000D1EF3">
              <w:rPr>
                <w:rFonts w:asciiTheme="majorHAnsi" w:hAnsiTheme="majorHAnsi" w:cstheme="majorHAnsi"/>
                <w:b/>
              </w:rPr>
              <w:t xml:space="preserve">ă  </w:t>
            </w:r>
          </w:p>
        </w:tc>
        <w:tc>
          <w:tcPr>
            <w:tcW w:w="915" w:type="dxa"/>
            <w:shd w:val="clear" w:color="auto" w:fill="C9DAF8"/>
          </w:tcPr>
          <w:p w14:paraId="0000014C" w14:textId="342B307D" w:rsidR="00C62A9B" w:rsidRPr="000D1EF3" w:rsidRDefault="00D11CD4" w:rsidP="000D1EF3">
            <w:pPr>
              <w:rPr>
                <w:rFonts w:asciiTheme="majorHAnsi" w:hAnsiTheme="majorHAnsi" w:cstheme="majorHAnsi"/>
                <w:b/>
              </w:rPr>
            </w:pPr>
            <w:r w:rsidRPr="000D1EF3">
              <w:rPr>
                <w:rFonts w:asciiTheme="majorHAnsi" w:hAnsiTheme="majorHAnsi" w:cstheme="majorHAnsi"/>
                <w:b/>
              </w:rPr>
              <w:t>Unitate de măsură de referin</w:t>
            </w:r>
            <w:r w:rsidR="00812FFF" w:rsidRPr="000D1EF3">
              <w:rPr>
                <w:rFonts w:asciiTheme="majorHAnsi" w:hAnsiTheme="majorHAnsi" w:cstheme="majorHAnsi"/>
                <w:b/>
              </w:rPr>
              <w:t>ț</w:t>
            </w:r>
            <w:r w:rsidRPr="000D1EF3">
              <w:rPr>
                <w:rFonts w:asciiTheme="majorHAnsi" w:hAnsiTheme="majorHAnsi" w:cstheme="majorHAnsi"/>
                <w:b/>
              </w:rPr>
              <w:t>ă</w:t>
            </w:r>
          </w:p>
        </w:tc>
        <w:tc>
          <w:tcPr>
            <w:tcW w:w="1320" w:type="dxa"/>
            <w:shd w:val="clear" w:color="auto" w:fill="C9DAF8"/>
          </w:tcPr>
          <w:p w14:paraId="0000014D" w14:textId="4F1D18E1" w:rsidR="00C62A9B" w:rsidRPr="000D1EF3" w:rsidRDefault="00D11CD4" w:rsidP="000D1EF3">
            <w:pPr>
              <w:rPr>
                <w:rFonts w:asciiTheme="majorHAnsi" w:hAnsiTheme="majorHAnsi" w:cstheme="majorHAnsi"/>
                <w:b/>
              </w:rPr>
            </w:pPr>
            <w:r w:rsidRPr="000D1EF3">
              <w:rPr>
                <w:rFonts w:asciiTheme="majorHAnsi" w:hAnsiTheme="majorHAnsi" w:cstheme="majorHAnsi"/>
                <w:b/>
              </w:rPr>
              <w:t>An de referin</w:t>
            </w:r>
            <w:r w:rsidR="00812FFF" w:rsidRPr="000D1EF3">
              <w:rPr>
                <w:rFonts w:asciiTheme="majorHAnsi" w:hAnsiTheme="majorHAnsi" w:cstheme="majorHAnsi"/>
                <w:b/>
              </w:rPr>
              <w:t>ț</w:t>
            </w:r>
            <w:r w:rsidRPr="000D1EF3">
              <w:rPr>
                <w:rFonts w:asciiTheme="majorHAnsi" w:hAnsiTheme="majorHAnsi" w:cstheme="majorHAnsi"/>
                <w:b/>
              </w:rPr>
              <w:t>ă</w:t>
            </w:r>
          </w:p>
        </w:tc>
        <w:tc>
          <w:tcPr>
            <w:tcW w:w="1140" w:type="dxa"/>
            <w:shd w:val="clear" w:color="auto" w:fill="C9DAF8"/>
          </w:tcPr>
          <w:p w14:paraId="0000014E" w14:textId="64DE878A" w:rsidR="00C62A9B" w:rsidRPr="000D1EF3" w:rsidRDefault="00812FFF" w:rsidP="000D1EF3">
            <w:pPr>
              <w:rPr>
                <w:rFonts w:asciiTheme="majorHAnsi" w:hAnsiTheme="majorHAnsi" w:cstheme="majorHAnsi"/>
                <w:b/>
              </w:rPr>
            </w:pPr>
            <w:r w:rsidRPr="000D1EF3">
              <w:rPr>
                <w:rFonts w:asciiTheme="majorHAnsi" w:hAnsiTheme="majorHAnsi" w:cstheme="majorHAnsi"/>
                <w:b/>
              </w:rPr>
              <w:t>Ț</w:t>
            </w:r>
            <w:r w:rsidR="00D11CD4" w:rsidRPr="000D1EF3">
              <w:rPr>
                <w:rFonts w:asciiTheme="majorHAnsi" w:hAnsiTheme="majorHAnsi" w:cstheme="majorHAnsi"/>
                <w:b/>
              </w:rPr>
              <w:t>intă  (2029)</w:t>
            </w:r>
          </w:p>
        </w:tc>
        <w:tc>
          <w:tcPr>
            <w:tcW w:w="1230" w:type="dxa"/>
            <w:shd w:val="clear" w:color="auto" w:fill="C9DAF8"/>
          </w:tcPr>
          <w:p w14:paraId="0000014F" w14:textId="290EC6A0" w:rsidR="00C62A9B" w:rsidRPr="000D1EF3" w:rsidRDefault="00D11CD4" w:rsidP="000D1EF3">
            <w:pPr>
              <w:rPr>
                <w:rFonts w:asciiTheme="majorHAnsi" w:hAnsiTheme="majorHAnsi" w:cstheme="majorHAnsi"/>
                <w:b/>
              </w:rPr>
            </w:pPr>
            <w:r w:rsidRPr="000D1EF3">
              <w:rPr>
                <w:rFonts w:asciiTheme="majorHAnsi" w:hAnsiTheme="majorHAnsi" w:cstheme="majorHAnsi"/>
                <w:b/>
              </w:rPr>
              <w:t xml:space="preserve">Unitate de măsură pentru </w:t>
            </w:r>
            <w:r w:rsidR="00812FFF" w:rsidRPr="000D1EF3">
              <w:rPr>
                <w:rFonts w:asciiTheme="majorHAnsi" w:hAnsiTheme="majorHAnsi" w:cstheme="majorHAnsi"/>
                <w:b/>
              </w:rPr>
              <w:t>ț</w:t>
            </w:r>
            <w:r w:rsidRPr="000D1EF3">
              <w:rPr>
                <w:rFonts w:asciiTheme="majorHAnsi" w:hAnsiTheme="majorHAnsi" w:cstheme="majorHAnsi"/>
                <w:b/>
              </w:rPr>
              <w:t>intă</w:t>
            </w:r>
          </w:p>
        </w:tc>
        <w:tc>
          <w:tcPr>
            <w:tcW w:w="2070" w:type="dxa"/>
            <w:shd w:val="clear" w:color="auto" w:fill="C9DAF8"/>
          </w:tcPr>
          <w:p w14:paraId="00000150" w14:textId="77777777" w:rsidR="00C62A9B" w:rsidRPr="000D1EF3" w:rsidRDefault="00D11CD4" w:rsidP="000D1EF3">
            <w:pPr>
              <w:rPr>
                <w:rFonts w:asciiTheme="majorHAnsi" w:hAnsiTheme="majorHAnsi" w:cstheme="majorHAnsi"/>
                <w:b/>
              </w:rPr>
            </w:pPr>
            <w:r w:rsidRPr="000D1EF3">
              <w:rPr>
                <w:rFonts w:asciiTheme="majorHAnsi" w:hAnsiTheme="majorHAnsi" w:cstheme="majorHAnsi"/>
                <w:b/>
              </w:rPr>
              <w:t>Sursa datelor [200]</w:t>
            </w:r>
          </w:p>
        </w:tc>
        <w:tc>
          <w:tcPr>
            <w:tcW w:w="2235" w:type="dxa"/>
            <w:shd w:val="clear" w:color="auto" w:fill="C9DAF8"/>
          </w:tcPr>
          <w:p w14:paraId="00000151" w14:textId="4CBA7D44" w:rsidR="00C62A9B" w:rsidRPr="000D1EF3" w:rsidRDefault="00D11CD4" w:rsidP="000D1EF3">
            <w:pPr>
              <w:rPr>
                <w:rFonts w:asciiTheme="majorHAnsi" w:hAnsiTheme="majorHAnsi" w:cstheme="majorHAnsi"/>
                <w:b/>
              </w:rPr>
            </w:pPr>
            <w:r w:rsidRPr="000D1EF3">
              <w:rPr>
                <w:rFonts w:asciiTheme="majorHAnsi" w:hAnsiTheme="majorHAnsi" w:cstheme="majorHAnsi"/>
                <w:b/>
              </w:rPr>
              <w:t>Observa</w:t>
            </w:r>
            <w:r w:rsidR="00812FFF" w:rsidRPr="000D1EF3">
              <w:rPr>
                <w:rFonts w:asciiTheme="majorHAnsi" w:hAnsiTheme="majorHAnsi" w:cstheme="majorHAnsi"/>
                <w:b/>
              </w:rPr>
              <w:t>ț</w:t>
            </w:r>
            <w:r w:rsidRPr="000D1EF3">
              <w:rPr>
                <w:rFonts w:asciiTheme="majorHAnsi" w:hAnsiTheme="majorHAnsi" w:cstheme="majorHAnsi"/>
                <w:b/>
              </w:rPr>
              <w:t>ii  [200]</w:t>
            </w:r>
          </w:p>
        </w:tc>
      </w:tr>
      <w:tr w:rsidR="00C62A9B" w:rsidRPr="000D1EF3" w14:paraId="5575C087" w14:textId="77777777" w:rsidTr="000D1EF3">
        <w:trPr>
          <w:trHeight w:val="398"/>
        </w:trPr>
        <w:tc>
          <w:tcPr>
            <w:tcW w:w="704" w:type="dxa"/>
            <w:vMerge w:val="restart"/>
          </w:tcPr>
          <w:p w14:paraId="00000152"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1</w:t>
            </w:r>
          </w:p>
        </w:tc>
        <w:tc>
          <w:tcPr>
            <w:tcW w:w="466" w:type="dxa"/>
          </w:tcPr>
          <w:p w14:paraId="00000153"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b/>
                <w:sz w:val="24"/>
                <w:szCs w:val="24"/>
              </w:rPr>
              <w:t>1</w:t>
            </w:r>
          </w:p>
        </w:tc>
        <w:tc>
          <w:tcPr>
            <w:tcW w:w="3150" w:type="dxa"/>
            <w:shd w:val="clear" w:color="auto" w:fill="auto"/>
          </w:tcPr>
          <w:p w14:paraId="00000154" w14:textId="72C2F68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sz w:val="24"/>
                <w:szCs w:val="24"/>
              </w:rPr>
              <w:t>Numărul de articole de echipament înregistrate în rezerva de echipamente tehnice a 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Europene pentru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Frontieră și Garda de Coastă</w:t>
            </w:r>
          </w:p>
        </w:tc>
        <w:tc>
          <w:tcPr>
            <w:tcW w:w="810" w:type="dxa"/>
          </w:tcPr>
          <w:p w14:paraId="00000155"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56"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42</w:t>
            </w:r>
          </w:p>
        </w:tc>
        <w:tc>
          <w:tcPr>
            <w:tcW w:w="915" w:type="dxa"/>
          </w:tcPr>
          <w:p w14:paraId="00000157"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i/>
                <w:sz w:val="24"/>
                <w:szCs w:val="24"/>
              </w:rPr>
              <w:t>medie anuală</w:t>
            </w:r>
          </w:p>
        </w:tc>
        <w:tc>
          <w:tcPr>
            <w:tcW w:w="1320" w:type="dxa"/>
          </w:tcPr>
          <w:p w14:paraId="00000158"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1140" w:type="dxa"/>
            <w:shd w:val="clear" w:color="auto" w:fill="auto"/>
          </w:tcPr>
          <w:p w14:paraId="00000159"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30</w:t>
            </w:r>
          </w:p>
        </w:tc>
        <w:tc>
          <w:tcPr>
            <w:tcW w:w="1230" w:type="dxa"/>
          </w:tcPr>
          <w:p w14:paraId="0000015A"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2070" w:type="dxa"/>
            <w:shd w:val="clear" w:color="auto" w:fill="auto"/>
          </w:tcPr>
          <w:p w14:paraId="4F629707" w14:textId="0F026EFB" w:rsidR="00947AA8" w:rsidRPr="000D1EF3" w:rsidRDefault="00F810EF" w:rsidP="000D1EF3">
            <w:pPr>
              <w:rPr>
                <w:rFonts w:asciiTheme="majorHAnsi" w:hAnsiTheme="majorHAnsi" w:cstheme="majorHAnsi"/>
                <w:i/>
                <w:sz w:val="18"/>
                <w:szCs w:val="18"/>
              </w:rPr>
            </w:pPr>
            <w:hyperlink r:id="rId15" w:history="1">
              <w:r w:rsidR="00947AA8" w:rsidRPr="000D1EF3">
                <w:rPr>
                  <w:rStyle w:val="Hyperlink"/>
                  <w:rFonts w:asciiTheme="majorHAnsi" w:hAnsiTheme="majorHAnsi" w:cstheme="majorHAnsi"/>
                  <w:i/>
                  <w:sz w:val="18"/>
                  <w:szCs w:val="18"/>
                </w:rPr>
                <w:t>https://www.politiadefrontiera.ro/ro/main/n-informaii-de-interes-public-analiza-activitatii-9/</w:t>
              </w:r>
            </w:hyperlink>
          </w:p>
          <w:p w14:paraId="0000015B" w14:textId="7A14A096" w:rsidR="00947AA8" w:rsidRPr="000D1EF3" w:rsidRDefault="00947AA8" w:rsidP="000D1EF3">
            <w:pPr>
              <w:rPr>
                <w:rFonts w:asciiTheme="majorHAnsi" w:hAnsiTheme="majorHAnsi" w:cstheme="majorHAnsi"/>
                <w:i/>
                <w:sz w:val="18"/>
                <w:szCs w:val="18"/>
              </w:rPr>
            </w:pPr>
            <w:r w:rsidRPr="000D1EF3">
              <w:rPr>
                <w:rFonts w:asciiTheme="majorHAnsi" w:hAnsiTheme="majorHAnsi" w:cstheme="majorHAnsi"/>
                <w:i/>
                <w:sz w:val="18"/>
                <w:szCs w:val="18"/>
              </w:rPr>
              <w:t>Discu</w:t>
            </w:r>
            <w:r w:rsidR="00812FFF" w:rsidRPr="000D1EF3">
              <w:rPr>
                <w:rFonts w:asciiTheme="majorHAnsi" w:hAnsiTheme="majorHAnsi" w:cstheme="majorHAnsi"/>
                <w:i/>
                <w:sz w:val="18"/>
                <w:szCs w:val="18"/>
              </w:rPr>
              <w:t>ț</w:t>
            </w:r>
            <w:r w:rsidRPr="000D1EF3">
              <w:rPr>
                <w:rFonts w:asciiTheme="majorHAnsi" w:hAnsiTheme="majorHAnsi" w:cstheme="majorHAnsi"/>
                <w:i/>
                <w:sz w:val="18"/>
                <w:szCs w:val="18"/>
              </w:rPr>
              <w:t>ii bilaterale anuale (</w:t>
            </w:r>
            <w:proofErr w:type="spellStart"/>
            <w:r w:rsidRPr="000D1EF3">
              <w:rPr>
                <w:rFonts w:asciiTheme="majorHAnsi" w:hAnsiTheme="majorHAnsi" w:cstheme="majorHAnsi"/>
                <w:i/>
                <w:sz w:val="18"/>
                <w:szCs w:val="18"/>
              </w:rPr>
              <w:t>Annual</w:t>
            </w:r>
            <w:proofErr w:type="spellEnd"/>
            <w:r w:rsidRPr="000D1EF3">
              <w:rPr>
                <w:rFonts w:asciiTheme="majorHAnsi" w:hAnsiTheme="majorHAnsi" w:cstheme="majorHAnsi"/>
                <w:i/>
                <w:sz w:val="18"/>
                <w:szCs w:val="18"/>
              </w:rPr>
              <w:t xml:space="preserve"> Bilateral </w:t>
            </w:r>
            <w:proofErr w:type="spellStart"/>
            <w:r w:rsidRPr="000D1EF3">
              <w:rPr>
                <w:rFonts w:asciiTheme="majorHAnsi" w:hAnsiTheme="majorHAnsi" w:cstheme="majorHAnsi"/>
                <w:i/>
                <w:sz w:val="18"/>
                <w:szCs w:val="18"/>
              </w:rPr>
              <w:t>Talks</w:t>
            </w:r>
            <w:proofErr w:type="spellEnd"/>
            <w:r w:rsidRPr="000D1EF3">
              <w:rPr>
                <w:rFonts w:asciiTheme="majorHAnsi" w:hAnsiTheme="majorHAnsi" w:cstheme="majorHAnsi"/>
                <w:i/>
                <w:sz w:val="18"/>
                <w:szCs w:val="18"/>
              </w:rPr>
              <w:t>)</w:t>
            </w:r>
          </w:p>
        </w:tc>
        <w:tc>
          <w:tcPr>
            <w:tcW w:w="2235" w:type="dxa"/>
          </w:tcPr>
          <w:p w14:paraId="0000015C" w14:textId="77777777" w:rsidR="00C62A9B" w:rsidRPr="000D1EF3" w:rsidRDefault="00C62A9B" w:rsidP="000D1EF3">
            <w:pPr>
              <w:rPr>
                <w:rFonts w:asciiTheme="majorHAnsi" w:hAnsiTheme="majorHAnsi" w:cstheme="majorHAnsi"/>
                <w:i/>
                <w:sz w:val="24"/>
                <w:szCs w:val="24"/>
              </w:rPr>
            </w:pPr>
          </w:p>
        </w:tc>
      </w:tr>
      <w:tr w:rsidR="00C62A9B" w:rsidRPr="000D1EF3" w14:paraId="2167D748" w14:textId="77777777" w:rsidTr="000D1EF3">
        <w:trPr>
          <w:trHeight w:val="340"/>
        </w:trPr>
        <w:tc>
          <w:tcPr>
            <w:tcW w:w="704" w:type="dxa"/>
            <w:vMerge/>
          </w:tcPr>
          <w:p w14:paraId="0000015D" w14:textId="77777777" w:rsidR="00C62A9B" w:rsidRPr="000D1EF3" w:rsidRDefault="00C62A9B" w:rsidP="000D1EF3">
            <w:pPr>
              <w:rPr>
                <w:rFonts w:asciiTheme="majorHAnsi" w:hAnsiTheme="majorHAnsi" w:cstheme="majorHAnsi"/>
                <w:i/>
                <w:sz w:val="24"/>
                <w:szCs w:val="24"/>
              </w:rPr>
            </w:pPr>
          </w:p>
        </w:tc>
        <w:tc>
          <w:tcPr>
            <w:tcW w:w="466" w:type="dxa"/>
          </w:tcPr>
          <w:p w14:paraId="0000015E"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w:t>
            </w:r>
          </w:p>
        </w:tc>
        <w:tc>
          <w:tcPr>
            <w:tcW w:w="3150" w:type="dxa"/>
            <w:shd w:val="clear" w:color="auto" w:fill="auto"/>
          </w:tcPr>
          <w:p w14:paraId="0000015F" w14:textId="58D66D2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articole de echipament puse la dispozi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Europene pentru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Frontieră și Garda de Coastă</w:t>
            </w:r>
          </w:p>
        </w:tc>
        <w:tc>
          <w:tcPr>
            <w:tcW w:w="810" w:type="dxa"/>
          </w:tcPr>
          <w:p w14:paraId="00000160"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61"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12</w:t>
            </w:r>
          </w:p>
        </w:tc>
        <w:tc>
          <w:tcPr>
            <w:tcW w:w="915" w:type="dxa"/>
          </w:tcPr>
          <w:p w14:paraId="00000162"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i/>
                <w:sz w:val="24"/>
                <w:szCs w:val="24"/>
              </w:rPr>
              <w:t>medie / 2 ani</w:t>
            </w:r>
          </w:p>
        </w:tc>
        <w:tc>
          <w:tcPr>
            <w:tcW w:w="1320" w:type="dxa"/>
          </w:tcPr>
          <w:p w14:paraId="00000163"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2019-2020</w:t>
            </w:r>
          </w:p>
        </w:tc>
        <w:tc>
          <w:tcPr>
            <w:tcW w:w="1140" w:type="dxa"/>
            <w:shd w:val="clear" w:color="auto" w:fill="auto"/>
          </w:tcPr>
          <w:p w14:paraId="00000164"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17</w:t>
            </w:r>
          </w:p>
        </w:tc>
        <w:tc>
          <w:tcPr>
            <w:tcW w:w="1230" w:type="dxa"/>
          </w:tcPr>
          <w:p w14:paraId="00000165"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2070" w:type="dxa"/>
            <w:shd w:val="clear" w:color="auto" w:fill="auto"/>
          </w:tcPr>
          <w:p w14:paraId="165821BD" w14:textId="06E267BB" w:rsidR="00947AA8" w:rsidRPr="000D1EF3" w:rsidRDefault="00F810EF" w:rsidP="000D1EF3">
            <w:pPr>
              <w:rPr>
                <w:rFonts w:asciiTheme="majorHAnsi" w:hAnsiTheme="majorHAnsi" w:cstheme="majorHAnsi"/>
                <w:i/>
                <w:sz w:val="18"/>
                <w:szCs w:val="18"/>
              </w:rPr>
            </w:pPr>
            <w:hyperlink r:id="rId16" w:history="1">
              <w:r w:rsidR="00947AA8" w:rsidRPr="000D1EF3">
                <w:rPr>
                  <w:rStyle w:val="Hyperlink"/>
                  <w:rFonts w:asciiTheme="majorHAnsi" w:hAnsiTheme="majorHAnsi" w:cstheme="majorHAnsi"/>
                  <w:i/>
                  <w:sz w:val="18"/>
                  <w:szCs w:val="18"/>
                </w:rPr>
                <w:t>https://www.politiadefrontiera.ro/ro/main/n-informaii-de-interes-public-analiza-activitatii-9/</w:t>
              </w:r>
            </w:hyperlink>
          </w:p>
          <w:p w14:paraId="00000166" w14:textId="1C0C5B63" w:rsidR="00C62A9B" w:rsidRPr="000D1EF3" w:rsidRDefault="00947AA8" w:rsidP="000D1EF3">
            <w:pPr>
              <w:rPr>
                <w:rFonts w:asciiTheme="majorHAnsi" w:hAnsiTheme="majorHAnsi" w:cstheme="majorHAnsi"/>
                <w:i/>
                <w:sz w:val="18"/>
                <w:szCs w:val="18"/>
              </w:rPr>
            </w:pPr>
            <w:r w:rsidRPr="000D1EF3">
              <w:rPr>
                <w:rFonts w:asciiTheme="majorHAnsi" w:hAnsiTheme="majorHAnsi" w:cstheme="majorHAnsi"/>
                <w:i/>
                <w:sz w:val="18"/>
                <w:szCs w:val="18"/>
              </w:rPr>
              <w:t>Discu</w:t>
            </w:r>
            <w:r w:rsidR="00812FFF" w:rsidRPr="000D1EF3">
              <w:rPr>
                <w:rFonts w:asciiTheme="majorHAnsi" w:hAnsiTheme="majorHAnsi" w:cstheme="majorHAnsi"/>
                <w:i/>
                <w:sz w:val="18"/>
                <w:szCs w:val="18"/>
              </w:rPr>
              <w:t>ț</w:t>
            </w:r>
            <w:r w:rsidRPr="000D1EF3">
              <w:rPr>
                <w:rFonts w:asciiTheme="majorHAnsi" w:hAnsiTheme="majorHAnsi" w:cstheme="majorHAnsi"/>
                <w:i/>
                <w:sz w:val="18"/>
                <w:szCs w:val="18"/>
              </w:rPr>
              <w:t>ii bilaterale anuale (</w:t>
            </w:r>
            <w:proofErr w:type="spellStart"/>
            <w:r w:rsidRPr="000D1EF3">
              <w:rPr>
                <w:rFonts w:asciiTheme="majorHAnsi" w:hAnsiTheme="majorHAnsi" w:cstheme="majorHAnsi"/>
                <w:i/>
                <w:sz w:val="18"/>
                <w:szCs w:val="18"/>
              </w:rPr>
              <w:t>Annual</w:t>
            </w:r>
            <w:proofErr w:type="spellEnd"/>
            <w:r w:rsidRPr="000D1EF3">
              <w:rPr>
                <w:rFonts w:asciiTheme="majorHAnsi" w:hAnsiTheme="majorHAnsi" w:cstheme="majorHAnsi"/>
                <w:i/>
                <w:sz w:val="18"/>
                <w:szCs w:val="18"/>
              </w:rPr>
              <w:t xml:space="preserve"> Bilateral </w:t>
            </w:r>
            <w:proofErr w:type="spellStart"/>
            <w:r w:rsidRPr="000D1EF3">
              <w:rPr>
                <w:rFonts w:asciiTheme="majorHAnsi" w:hAnsiTheme="majorHAnsi" w:cstheme="majorHAnsi"/>
                <w:i/>
                <w:sz w:val="18"/>
                <w:szCs w:val="18"/>
              </w:rPr>
              <w:t>Talks</w:t>
            </w:r>
            <w:proofErr w:type="spellEnd"/>
            <w:r w:rsidRPr="000D1EF3">
              <w:rPr>
                <w:rFonts w:asciiTheme="majorHAnsi" w:hAnsiTheme="majorHAnsi" w:cstheme="majorHAnsi"/>
                <w:i/>
                <w:sz w:val="18"/>
                <w:szCs w:val="18"/>
              </w:rPr>
              <w:t>)</w:t>
            </w:r>
          </w:p>
        </w:tc>
        <w:tc>
          <w:tcPr>
            <w:tcW w:w="2235" w:type="dxa"/>
          </w:tcPr>
          <w:p w14:paraId="00000167" w14:textId="77777777" w:rsidR="00C62A9B" w:rsidRPr="000D1EF3" w:rsidRDefault="00C62A9B" w:rsidP="000D1EF3">
            <w:pPr>
              <w:rPr>
                <w:rFonts w:asciiTheme="majorHAnsi" w:hAnsiTheme="majorHAnsi" w:cstheme="majorHAnsi"/>
                <w:i/>
                <w:color w:val="31849B"/>
                <w:sz w:val="24"/>
                <w:szCs w:val="24"/>
              </w:rPr>
            </w:pPr>
          </w:p>
        </w:tc>
      </w:tr>
      <w:tr w:rsidR="00C62A9B" w:rsidRPr="000D1EF3" w14:paraId="27BAAFA3" w14:textId="77777777" w:rsidTr="000D1EF3">
        <w:trPr>
          <w:trHeight w:val="1067"/>
        </w:trPr>
        <w:tc>
          <w:tcPr>
            <w:tcW w:w="704" w:type="dxa"/>
            <w:vMerge/>
          </w:tcPr>
          <w:p w14:paraId="00000168" w14:textId="77777777" w:rsidR="00C62A9B" w:rsidRPr="000D1EF3" w:rsidRDefault="00C62A9B" w:rsidP="000D1EF3">
            <w:pPr>
              <w:rPr>
                <w:rFonts w:asciiTheme="majorHAnsi" w:hAnsiTheme="majorHAnsi" w:cstheme="majorHAnsi"/>
                <w:i/>
                <w:sz w:val="24"/>
                <w:szCs w:val="24"/>
              </w:rPr>
            </w:pPr>
          </w:p>
        </w:tc>
        <w:tc>
          <w:tcPr>
            <w:tcW w:w="466" w:type="dxa"/>
          </w:tcPr>
          <w:p w14:paraId="00000169"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3</w:t>
            </w:r>
          </w:p>
        </w:tc>
        <w:tc>
          <w:tcPr>
            <w:tcW w:w="3150" w:type="dxa"/>
            <w:shd w:val="clear" w:color="auto" w:fill="auto"/>
          </w:tcPr>
          <w:p w14:paraId="0000016A" w14:textId="6D7BB52C"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forme ini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iate/îmbunătă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ite de cooperare ale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cu centrele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de coordonare din cadrul EUROSUR</w:t>
            </w:r>
          </w:p>
        </w:tc>
        <w:tc>
          <w:tcPr>
            <w:tcW w:w="810" w:type="dxa"/>
          </w:tcPr>
          <w:p w14:paraId="0000016B"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6C"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0</w:t>
            </w:r>
          </w:p>
        </w:tc>
        <w:tc>
          <w:tcPr>
            <w:tcW w:w="915" w:type="dxa"/>
          </w:tcPr>
          <w:p w14:paraId="0000016D"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i/>
                <w:sz w:val="24"/>
                <w:szCs w:val="24"/>
              </w:rPr>
              <w:t>medie anuală</w:t>
            </w:r>
          </w:p>
        </w:tc>
        <w:tc>
          <w:tcPr>
            <w:tcW w:w="1320" w:type="dxa"/>
          </w:tcPr>
          <w:p w14:paraId="0000016E"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1140" w:type="dxa"/>
            <w:shd w:val="clear" w:color="auto" w:fill="auto"/>
          </w:tcPr>
          <w:p w14:paraId="0000016F"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230" w:type="dxa"/>
          </w:tcPr>
          <w:p w14:paraId="00000170"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2070" w:type="dxa"/>
            <w:shd w:val="clear" w:color="auto" w:fill="auto"/>
          </w:tcPr>
          <w:p w14:paraId="00000171" w14:textId="77777777" w:rsidR="00C62A9B" w:rsidRPr="000D1EF3" w:rsidRDefault="00D11CD4" w:rsidP="000D1EF3">
            <w:pPr>
              <w:rPr>
                <w:rFonts w:asciiTheme="majorHAnsi" w:hAnsiTheme="majorHAnsi" w:cstheme="majorHAnsi"/>
                <w:i/>
                <w:sz w:val="18"/>
                <w:szCs w:val="18"/>
              </w:rPr>
            </w:pPr>
            <w:r w:rsidRPr="000D1EF3">
              <w:rPr>
                <w:rFonts w:asciiTheme="majorHAnsi" w:hAnsiTheme="majorHAnsi" w:cstheme="majorHAnsi"/>
                <w:i/>
                <w:sz w:val="18"/>
                <w:szCs w:val="18"/>
              </w:rPr>
              <w:t>NCC este singura autoritate din RO care transmite date EUROSUR</w:t>
            </w:r>
          </w:p>
        </w:tc>
        <w:tc>
          <w:tcPr>
            <w:tcW w:w="2235" w:type="dxa"/>
          </w:tcPr>
          <w:p w14:paraId="00000172" w14:textId="77777777" w:rsidR="00C62A9B" w:rsidRPr="000D1EF3" w:rsidRDefault="00C62A9B" w:rsidP="000D1EF3">
            <w:pPr>
              <w:rPr>
                <w:rFonts w:asciiTheme="majorHAnsi" w:hAnsiTheme="majorHAnsi" w:cstheme="majorHAnsi"/>
                <w:i/>
                <w:color w:val="31849B"/>
                <w:sz w:val="24"/>
                <w:szCs w:val="24"/>
              </w:rPr>
            </w:pPr>
          </w:p>
        </w:tc>
      </w:tr>
      <w:tr w:rsidR="00C62A9B" w:rsidRPr="000D1EF3" w14:paraId="3FF0C8D2" w14:textId="77777777" w:rsidTr="000D1EF3">
        <w:trPr>
          <w:trHeight w:val="398"/>
        </w:trPr>
        <w:tc>
          <w:tcPr>
            <w:tcW w:w="704" w:type="dxa"/>
            <w:vMerge/>
          </w:tcPr>
          <w:p w14:paraId="00000173" w14:textId="77777777" w:rsidR="00C62A9B" w:rsidRPr="000D1EF3" w:rsidRDefault="00C62A9B" w:rsidP="000D1EF3">
            <w:pPr>
              <w:rPr>
                <w:rFonts w:asciiTheme="majorHAnsi" w:hAnsiTheme="majorHAnsi" w:cstheme="majorHAnsi"/>
                <w:i/>
                <w:sz w:val="24"/>
                <w:szCs w:val="24"/>
              </w:rPr>
            </w:pPr>
          </w:p>
        </w:tc>
        <w:tc>
          <w:tcPr>
            <w:tcW w:w="466" w:type="dxa"/>
          </w:tcPr>
          <w:p w14:paraId="00000174"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4</w:t>
            </w:r>
          </w:p>
        </w:tc>
        <w:tc>
          <w:tcPr>
            <w:tcW w:w="3150" w:type="dxa"/>
            <w:shd w:val="clear" w:color="auto" w:fill="auto"/>
          </w:tcPr>
          <w:p w14:paraId="00000175" w14:textId="66982E2A"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treceri ale frontierei prin por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control automat la frontieră și por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electronice</w:t>
            </w:r>
          </w:p>
        </w:tc>
        <w:tc>
          <w:tcPr>
            <w:tcW w:w="810" w:type="dxa"/>
          </w:tcPr>
          <w:p w14:paraId="00000176"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77"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0%</w:t>
            </w:r>
          </w:p>
        </w:tc>
        <w:tc>
          <w:tcPr>
            <w:tcW w:w="915" w:type="dxa"/>
          </w:tcPr>
          <w:p w14:paraId="00000178"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Procent</w:t>
            </w:r>
          </w:p>
        </w:tc>
        <w:tc>
          <w:tcPr>
            <w:tcW w:w="1320" w:type="dxa"/>
          </w:tcPr>
          <w:p w14:paraId="00000179"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2018-2019</w:t>
            </w:r>
          </w:p>
        </w:tc>
        <w:tc>
          <w:tcPr>
            <w:tcW w:w="1140" w:type="dxa"/>
            <w:shd w:val="clear" w:color="auto" w:fill="auto"/>
          </w:tcPr>
          <w:p w14:paraId="0000017A"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500,000</w:t>
            </w:r>
          </w:p>
        </w:tc>
        <w:tc>
          <w:tcPr>
            <w:tcW w:w="1230" w:type="dxa"/>
          </w:tcPr>
          <w:p w14:paraId="0000017B"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2070" w:type="dxa"/>
            <w:shd w:val="clear" w:color="auto" w:fill="auto"/>
          </w:tcPr>
          <w:p w14:paraId="0000017C" w14:textId="021A7E14" w:rsidR="00C62A9B" w:rsidRPr="000D1EF3" w:rsidRDefault="00D11CD4" w:rsidP="000D1EF3">
            <w:pPr>
              <w:rPr>
                <w:rFonts w:asciiTheme="majorHAnsi" w:hAnsiTheme="majorHAnsi" w:cstheme="majorHAnsi"/>
                <w:i/>
                <w:sz w:val="18"/>
                <w:szCs w:val="18"/>
              </w:rPr>
            </w:pPr>
            <w:r w:rsidRPr="000D1EF3">
              <w:rPr>
                <w:rFonts w:asciiTheme="majorHAnsi" w:hAnsiTheme="majorHAnsi" w:cstheme="majorHAnsi"/>
                <w:i/>
                <w:color w:val="31849B"/>
                <w:sz w:val="18"/>
                <w:szCs w:val="18"/>
              </w:rPr>
              <w:t>Por</w:t>
            </w:r>
            <w:r w:rsidR="00812FFF" w:rsidRPr="000D1EF3">
              <w:rPr>
                <w:rFonts w:asciiTheme="majorHAnsi" w:hAnsiTheme="majorHAnsi" w:cstheme="majorHAnsi"/>
                <w:i/>
                <w:color w:val="31849B"/>
                <w:sz w:val="18"/>
                <w:szCs w:val="18"/>
              </w:rPr>
              <w:t>ț</w:t>
            </w:r>
            <w:r w:rsidRPr="000D1EF3">
              <w:rPr>
                <w:rFonts w:asciiTheme="majorHAnsi" w:hAnsiTheme="majorHAnsi" w:cstheme="majorHAnsi"/>
                <w:i/>
                <w:color w:val="31849B"/>
                <w:sz w:val="18"/>
                <w:szCs w:val="18"/>
              </w:rPr>
              <w:t>ile ABC au fost instalate în 2020.</w:t>
            </w:r>
          </w:p>
        </w:tc>
        <w:tc>
          <w:tcPr>
            <w:tcW w:w="2235" w:type="dxa"/>
          </w:tcPr>
          <w:p w14:paraId="0000017D" w14:textId="77777777" w:rsidR="00C62A9B" w:rsidRPr="000D1EF3" w:rsidRDefault="00C62A9B" w:rsidP="000D1EF3">
            <w:pPr>
              <w:rPr>
                <w:rFonts w:asciiTheme="majorHAnsi" w:hAnsiTheme="majorHAnsi" w:cstheme="majorHAnsi"/>
                <w:i/>
                <w:color w:val="31849B"/>
                <w:sz w:val="24"/>
                <w:szCs w:val="24"/>
              </w:rPr>
            </w:pPr>
          </w:p>
        </w:tc>
      </w:tr>
      <w:tr w:rsidR="00C62A9B" w:rsidRPr="000D1EF3" w14:paraId="1354FA81" w14:textId="77777777" w:rsidTr="000D1EF3">
        <w:trPr>
          <w:trHeight w:val="398"/>
        </w:trPr>
        <w:tc>
          <w:tcPr>
            <w:tcW w:w="704" w:type="dxa"/>
            <w:vMerge/>
          </w:tcPr>
          <w:p w14:paraId="0000017E" w14:textId="77777777" w:rsidR="00C62A9B" w:rsidRPr="000D1EF3" w:rsidRDefault="00C62A9B" w:rsidP="000D1EF3">
            <w:pPr>
              <w:rPr>
                <w:rFonts w:asciiTheme="majorHAnsi" w:hAnsiTheme="majorHAnsi" w:cstheme="majorHAnsi"/>
                <w:i/>
                <w:sz w:val="24"/>
                <w:szCs w:val="24"/>
              </w:rPr>
            </w:pPr>
          </w:p>
        </w:tc>
        <w:tc>
          <w:tcPr>
            <w:tcW w:w="466" w:type="dxa"/>
          </w:tcPr>
          <w:p w14:paraId="0000017F"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5</w:t>
            </w:r>
          </w:p>
        </w:tc>
        <w:tc>
          <w:tcPr>
            <w:tcW w:w="3150" w:type="dxa"/>
            <w:shd w:val="clear" w:color="auto" w:fill="auto"/>
          </w:tcPr>
          <w:p w14:paraId="00000180" w14:textId="79C5FD98"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recomandări adresate în urma evaluărilor Schengen și a evaluărilor vulnerabilită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în domeniul gestionării frontierelor</w:t>
            </w:r>
          </w:p>
        </w:tc>
        <w:tc>
          <w:tcPr>
            <w:tcW w:w="810" w:type="dxa"/>
          </w:tcPr>
          <w:p w14:paraId="00000181"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82"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0%</w:t>
            </w:r>
          </w:p>
        </w:tc>
        <w:tc>
          <w:tcPr>
            <w:tcW w:w="915" w:type="dxa"/>
          </w:tcPr>
          <w:p w14:paraId="00000183" w14:textId="77777777" w:rsidR="00C62A9B" w:rsidRPr="000D1EF3" w:rsidRDefault="00D11CD4" w:rsidP="000D1EF3">
            <w:pPr>
              <w:jc w:val="center"/>
              <w:rPr>
                <w:rFonts w:asciiTheme="majorHAnsi" w:hAnsiTheme="majorHAnsi" w:cstheme="majorHAnsi"/>
                <w:i/>
                <w:sz w:val="24"/>
                <w:szCs w:val="24"/>
              </w:rPr>
            </w:pPr>
            <w:r w:rsidRPr="000D1EF3">
              <w:rPr>
                <w:rFonts w:asciiTheme="majorHAnsi" w:hAnsiTheme="majorHAnsi" w:cstheme="majorHAnsi"/>
                <w:i/>
                <w:sz w:val="24"/>
                <w:szCs w:val="24"/>
              </w:rPr>
              <w:t>Procent%</w:t>
            </w:r>
          </w:p>
        </w:tc>
        <w:tc>
          <w:tcPr>
            <w:tcW w:w="1320" w:type="dxa"/>
          </w:tcPr>
          <w:p w14:paraId="00000184" w14:textId="77777777" w:rsidR="00C62A9B" w:rsidRPr="000D1EF3" w:rsidRDefault="00C62A9B" w:rsidP="000D1EF3">
            <w:pPr>
              <w:rPr>
                <w:rFonts w:asciiTheme="majorHAnsi" w:hAnsiTheme="majorHAnsi" w:cstheme="majorHAnsi"/>
                <w:b/>
                <w:sz w:val="24"/>
                <w:szCs w:val="24"/>
              </w:rPr>
            </w:pPr>
          </w:p>
        </w:tc>
        <w:tc>
          <w:tcPr>
            <w:tcW w:w="1140" w:type="dxa"/>
            <w:shd w:val="clear" w:color="auto" w:fill="auto"/>
          </w:tcPr>
          <w:p w14:paraId="00000185"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230" w:type="dxa"/>
            <w:shd w:val="clear" w:color="auto" w:fill="auto"/>
          </w:tcPr>
          <w:p w14:paraId="00000186" w14:textId="77777777" w:rsidR="00C62A9B" w:rsidRPr="000D1EF3" w:rsidRDefault="00D11CD4" w:rsidP="000D1EF3">
            <w:pPr>
              <w:jc w:val="center"/>
              <w:rPr>
                <w:rFonts w:asciiTheme="majorHAnsi" w:hAnsiTheme="majorHAnsi" w:cstheme="majorHAnsi"/>
                <w:i/>
                <w:sz w:val="24"/>
                <w:szCs w:val="24"/>
              </w:rPr>
            </w:pPr>
            <w:r w:rsidRPr="000D1EF3">
              <w:rPr>
                <w:rFonts w:asciiTheme="majorHAnsi" w:hAnsiTheme="majorHAnsi" w:cstheme="majorHAnsi"/>
                <w:i/>
                <w:sz w:val="24"/>
                <w:szCs w:val="24"/>
              </w:rPr>
              <w:t>Procent</w:t>
            </w:r>
          </w:p>
        </w:tc>
        <w:tc>
          <w:tcPr>
            <w:tcW w:w="2070" w:type="dxa"/>
            <w:shd w:val="clear" w:color="auto" w:fill="auto"/>
          </w:tcPr>
          <w:p w14:paraId="00000187" w14:textId="77777777" w:rsidR="00C62A9B" w:rsidRPr="000D1EF3" w:rsidRDefault="00C62A9B" w:rsidP="000D1EF3">
            <w:pPr>
              <w:rPr>
                <w:rFonts w:asciiTheme="majorHAnsi" w:hAnsiTheme="majorHAnsi" w:cstheme="majorHAnsi"/>
                <w:i/>
                <w:sz w:val="18"/>
                <w:szCs w:val="18"/>
              </w:rPr>
            </w:pPr>
          </w:p>
        </w:tc>
        <w:tc>
          <w:tcPr>
            <w:tcW w:w="2235" w:type="dxa"/>
          </w:tcPr>
          <w:p w14:paraId="00000188" w14:textId="77777777" w:rsidR="00C62A9B" w:rsidRPr="000D1EF3" w:rsidRDefault="00C62A9B" w:rsidP="000D1EF3">
            <w:pPr>
              <w:rPr>
                <w:rFonts w:asciiTheme="majorHAnsi" w:hAnsiTheme="majorHAnsi" w:cstheme="majorHAnsi"/>
                <w:i/>
                <w:color w:val="31849B"/>
                <w:sz w:val="24"/>
                <w:szCs w:val="24"/>
              </w:rPr>
            </w:pPr>
          </w:p>
        </w:tc>
      </w:tr>
      <w:tr w:rsidR="00C62A9B" w:rsidRPr="000D1EF3" w14:paraId="3E1AF504" w14:textId="77777777" w:rsidTr="000D1EF3">
        <w:trPr>
          <w:trHeight w:val="398"/>
        </w:trPr>
        <w:tc>
          <w:tcPr>
            <w:tcW w:w="704" w:type="dxa"/>
            <w:vMerge/>
          </w:tcPr>
          <w:p w14:paraId="00000189" w14:textId="77777777" w:rsidR="00C62A9B" w:rsidRPr="000D1EF3" w:rsidRDefault="00C62A9B" w:rsidP="000D1EF3">
            <w:pPr>
              <w:rPr>
                <w:rFonts w:asciiTheme="majorHAnsi" w:hAnsiTheme="majorHAnsi" w:cstheme="majorHAnsi"/>
                <w:i/>
                <w:sz w:val="24"/>
                <w:szCs w:val="24"/>
              </w:rPr>
            </w:pPr>
          </w:p>
        </w:tc>
        <w:tc>
          <w:tcPr>
            <w:tcW w:w="466" w:type="dxa"/>
          </w:tcPr>
          <w:p w14:paraId="0000018A"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6</w:t>
            </w:r>
          </w:p>
        </w:tc>
        <w:tc>
          <w:tcPr>
            <w:tcW w:w="3150" w:type="dxa"/>
            <w:shd w:val="clear" w:color="auto" w:fill="auto"/>
          </w:tcPr>
          <w:p w14:paraId="0000018B" w14:textId="66D4100C"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raportează, la trei luni de la activitatea de formare, că utilizează 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și competen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 dobândite în cursul respectivelor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formare</w:t>
            </w:r>
          </w:p>
        </w:tc>
        <w:tc>
          <w:tcPr>
            <w:tcW w:w="810" w:type="dxa"/>
          </w:tcPr>
          <w:p w14:paraId="0000018C"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8D"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N/A</w:t>
            </w:r>
          </w:p>
        </w:tc>
        <w:tc>
          <w:tcPr>
            <w:tcW w:w="915" w:type="dxa"/>
          </w:tcPr>
          <w:p w14:paraId="0000018E"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i/>
                <w:sz w:val="24"/>
                <w:szCs w:val="24"/>
              </w:rPr>
              <w:t>Procent</w:t>
            </w:r>
          </w:p>
        </w:tc>
        <w:tc>
          <w:tcPr>
            <w:tcW w:w="1320" w:type="dxa"/>
          </w:tcPr>
          <w:p w14:paraId="0000018F"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2014-2020</w:t>
            </w:r>
          </w:p>
        </w:tc>
        <w:tc>
          <w:tcPr>
            <w:tcW w:w="1140" w:type="dxa"/>
            <w:shd w:val="clear" w:color="auto" w:fill="auto"/>
          </w:tcPr>
          <w:p w14:paraId="00000190"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250</w:t>
            </w:r>
          </w:p>
        </w:tc>
        <w:tc>
          <w:tcPr>
            <w:tcW w:w="1230" w:type="dxa"/>
            <w:shd w:val="clear" w:color="auto" w:fill="auto"/>
          </w:tcPr>
          <w:p w14:paraId="00000191"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i/>
                <w:sz w:val="24"/>
                <w:szCs w:val="24"/>
              </w:rPr>
              <w:t>Număr</w:t>
            </w:r>
          </w:p>
        </w:tc>
        <w:tc>
          <w:tcPr>
            <w:tcW w:w="2070" w:type="dxa"/>
            <w:shd w:val="clear" w:color="auto" w:fill="auto"/>
          </w:tcPr>
          <w:p w14:paraId="00000192" w14:textId="77777777" w:rsidR="00C62A9B" w:rsidRPr="000D1EF3" w:rsidRDefault="00C62A9B" w:rsidP="000D1EF3">
            <w:pPr>
              <w:rPr>
                <w:rFonts w:asciiTheme="majorHAnsi" w:hAnsiTheme="majorHAnsi" w:cstheme="majorHAnsi"/>
                <w:i/>
                <w:sz w:val="18"/>
                <w:szCs w:val="18"/>
              </w:rPr>
            </w:pPr>
          </w:p>
        </w:tc>
        <w:tc>
          <w:tcPr>
            <w:tcW w:w="2235" w:type="dxa"/>
          </w:tcPr>
          <w:p w14:paraId="00000193" w14:textId="77777777" w:rsidR="00C62A9B" w:rsidRPr="000D1EF3" w:rsidRDefault="00C62A9B" w:rsidP="000D1EF3">
            <w:pPr>
              <w:rPr>
                <w:rFonts w:asciiTheme="majorHAnsi" w:hAnsiTheme="majorHAnsi" w:cstheme="majorHAnsi"/>
                <w:i/>
                <w:color w:val="31849B"/>
                <w:sz w:val="24"/>
                <w:szCs w:val="24"/>
              </w:rPr>
            </w:pPr>
          </w:p>
        </w:tc>
      </w:tr>
      <w:tr w:rsidR="00C62A9B" w:rsidRPr="000D1EF3" w14:paraId="2B365F3D" w14:textId="77777777" w:rsidTr="000D1EF3">
        <w:trPr>
          <w:trHeight w:val="398"/>
        </w:trPr>
        <w:tc>
          <w:tcPr>
            <w:tcW w:w="704" w:type="dxa"/>
          </w:tcPr>
          <w:p w14:paraId="00000194" w14:textId="3B5DAA00" w:rsidR="00C62A9B" w:rsidRPr="000D1EF3" w:rsidRDefault="00D46CAF" w:rsidP="000D1EF3">
            <w:pPr>
              <w:rPr>
                <w:rFonts w:asciiTheme="majorHAnsi" w:hAnsiTheme="majorHAnsi" w:cstheme="majorHAnsi"/>
                <w:i/>
                <w:sz w:val="24"/>
                <w:szCs w:val="24"/>
              </w:rPr>
            </w:pPr>
            <w:r w:rsidRPr="000D1EF3">
              <w:br w:type="page"/>
            </w:r>
          </w:p>
        </w:tc>
        <w:tc>
          <w:tcPr>
            <w:tcW w:w="466" w:type="dxa"/>
          </w:tcPr>
          <w:p w14:paraId="00000195"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7</w:t>
            </w:r>
          </w:p>
        </w:tc>
        <w:tc>
          <w:tcPr>
            <w:tcW w:w="3150" w:type="dxa"/>
            <w:shd w:val="clear" w:color="auto" w:fill="auto"/>
          </w:tcPr>
          <w:p w14:paraId="00000196" w14:textId="5CF8BF0B"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persoane cărora li s-a refuzat intrarea de către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frontieră</w:t>
            </w:r>
          </w:p>
        </w:tc>
        <w:tc>
          <w:tcPr>
            <w:tcW w:w="810" w:type="dxa"/>
          </w:tcPr>
          <w:p w14:paraId="00000197"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870" w:type="dxa"/>
          </w:tcPr>
          <w:p w14:paraId="00000198" w14:textId="77777777" w:rsidR="00C62A9B" w:rsidRPr="000D1EF3" w:rsidRDefault="00D11CD4" w:rsidP="000D1EF3">
            <w:pPr>
              <w:rPr>
                <w:rFonts w:asciiTheme="majorHAnsi" w:hAnsiTheme="majorHAnsi" w:cstheme="majorHAnsi"/>
                <w:i/>
                <w:sz w:val="24"/>
                <w:szCs w:val="24"/>
              </w:rPr>
            </w:pPr>
            <w:r w:rsidRPr="000D1EF3">
              <w:rPr>
                <w:rFonts w:asciiTheme="majorHAnsi" w:hAnsiTheme="majorHAnsi" w:cstheme="majorHAnsi"/>
                <w:i/>
                <w:sz w:val="24"/>
                <w:szCs w:val="24"/>
              </w:rPr>
              <w:t>9156</w:t>
            </w:r>
          </w:p>
        </w:tc>
        <w:tc>
          <w:tcPr>
            <w:tcW w:w="915" w:type="dxa"/>
          </w:tcPr>
          <w:p w14:paraId="00000199"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i/>
                <w:sz w:val="24"/>
                <w:szCs w:val="24"/>
              </w:rPr>
              <w:t>medie anuală</w:t>
            </w:r>
          </w:p>
        </w:tc>
        <w:tc>
          <w:tcPr>
            <w:tcW w:w="1320" w:type="dxa"/>
          </w:tcPr>
          <w:p w14:paraId="0000019A" w14:textId="77777777" w:rsidR="00C62A9B" w:rsidRPr="000D1EF3" w:rsidRDefault="00D11CD4" w:rsidP="000D1EF3">
            <w:pP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1140" w:type="dxa"/>
            <w:shd w:val="clear" w:color="auto" w:fill="auto"/>
          </w:tcPr>
          <w:p w14:paraId="0000019B"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20,000</w:t>
            </w:r>
          </w:p>
        </w:tc>
        <w:tc>
          <w:tcPr>
            <w:tcW w:w="1230" w:type="dxa"/>
            <w:shd w:val="clear" w:color="auto" w:fill="auto"/>
          </w:tcPr>
          <w:p w14:paraId="0000019C" w14:textId="77777777" w:rsidR="00C62A9B" w:rsidRPr="000D1EF3" w:rsidRDefault="00D11CD4" w:rsidP="000D1EF3">
            <w:pPr>
              <w:jc w:val="center"/>
              <w:rPr>
                <w:rFonts w:asciiTheme="majorHAnsi" w:hAnsiTheme="majorHAnsi" w:cstheme="majorHAnsi"/>
                <w:b/>
                <w:sz w:val="24"/>
                <w:szCs w:val="24"/>
              </w:rPr>
            </w:pPr>
            <w:r w:rsidRPr="000D1EF3">
              <w:rPr>
                <w:rFonts w:asciiTheme="majorHAnsi" w:hAnsiTheme="majorHAnsi" w:cstheme="majorHAnsi"/>
                <w:b/>
                <w:sz w:val="24"/>
                <w:szCs w:val="24"/>
              </w:rPr>
              <w:t>Număr</w:t>
            </w:r>
          </w:p>
        </w:tc>
        <w:tc>
          <w:tcPr>
            <w:tcW w:w="2070" w:type="dxa"/>
            <w:shd w:val="clear" w:color="auto" w:fill="auto"/>
          </w:tcPr>
          <w:p w14:paraId="0000019D" w14:textId="77777777" w:rsidR="00C62A9B" w:rsidRPr="000D1EF3" w:rsidRDefault="00F810EF" w:rsidP="000D1EF3">
            <w:pPr>
              <w:rPr>
                <w:rFonts w:asciiTheme="majorHAnsi" w:hAnsiTheme="majorHAnsi" w:cstheme="majorHAnsi"/>
                <w:i/>
                <w:sz w:val="18"/>
                <w:szCs w:val="18"/>
              </w:rPr>
            </w:pPr>
            <w:hyperlink r:id="rId17">
              <w:r w:rsidR="00D11CD4" w:rsidRPr="000D1EF3">
                <w:rPr>
                  <w:rFonts w:asciiTheme="majorHAnsi" w:hAnsiTheme="majorHAnsi" w:cstheme="majorHAnsi"/>
                  <w:i/>
                  <w:color w:val="1155CC"/>
                  <w:sz w:val="18"/>
                  <w:szCs w:val="18"/>
                  <w:u w:val="single"/>
                </w:rPr>
                <w:t>https://ec.europa.eu/eurostat/databrowser/bookmark/42e248c4-ef83-4df3-afe1-fe25333c730c?lang=en</w:t>
              </w:r>
            </w:hyperlink>
            <w:r w:rsidR="00D11CD4" w:rsidRPr="000D1EF3">
              <w:rPr>
                <w:rFonts w:asciiTheme="majorHAnsi" w:hAnsiTheme="majorHAnsi" w:cstheme="majorHAnsi"/>
                <w:i/>
                <w:sz w:val="18"/>
                <w:szCs w:val="18"/>
              </w:rPr>
              <w:t xml:space="preserve"> </w:t>
            </w:r>
          </w:p>
        </w:tc>
        <w:tc>
          <w:tcPr>
            <w:tcW w:w="2235" w:type="dxa"/>
          </w:tcPr>
          <w:p w14:paraId="0000019E" w14:textId="77777777" w:rsidR="00C62A9B" w:rsidRPr="000D1EF3" w:rsidRDefault="00C62A9B" w:rsidP="000D1EF3">
            <w:pPr>
              <w:rPr>
                <w:rFonts w:asciiTheme="majorHAnsi" w:hAnsiTheme="majorHAnsi" w:cstheme="majorHAnsi"/>
                <w:i/>
                <w:color w:val="31849B"/>
                <w:sz w:val="24"/>
                <w:szCs w:val="24"/>
              </w:rPr>
            </w:pPr>
          </w:p>
        </w:tc>
      </w:tr>
    </w:tbl>
    <w:p w14:paraId="0000019F" w14:textId="77777777" w:rsidR="00C62A9B" w:rsidRPr="000D1EF3" w:rsidRDefault="00C62A9B">
      <w:pPr>
        <w:keepNext/>
        <w:spacing w:after="120" w:line="240" w:lineRule="auto"/>
        <w:rPr>
          <w:rFonts w:asciiTheme="majorHAnsi" w:hAnsiTheme="majorHAnsi" w:cstheme="majorHAnsi"/>
          <w:b/>
          <w:sz w:val="24"/>
          <w:szCs w:val="24"/>
        </w:rPr>
        <w:sectPr w:rsidR="00C62A9B" w:rsidRPr="000D1EF3" w:rsidSect="00812FFF">
          <w:pgSz w:w="16840" w:h="11907" w:code="9"/>
          <w:pgMar w:top="1134" w:right="567" w:bottom="1134" w:left="567" w:header="567" w:footer="567" w:gutter="0"/>
          <w:pgNumType w:start="1"/>
          <w:cols w:space="720"/>
        </w:sectPr>
      </w:pPr>
    </w:p>
    <w:p w14:paraId="000001A0" w14:textId="77777777" w:rsidR="00C62A9B" w:rsidRPr="000D1EF3" w:rsidRDefault="00C62A9B">
      <w:pPr>
        <w:keepNext/>
        <w:spacing w:after="120" w:line="240" w:lineRule="auto"/>
        <w:rPr>
          <w:rFonts w:asciiTheme="majorHAnsi" w:hAnsiTheme="majorHAnsi" w:cstheme="majorHAnsi"/>
          <w:b/>
          <w:sz w:val="24"/>
          <w:szCs w:val="24"/>
        </w:rPr>
      </w:pPr>
    </w:p>
    <w:p w14:paraId="000001A1" w14:textId="77777777" w:rsidR="00C62A9B" w:rsidRPr="000D1EF3" w:rsidRDefault="00C62A9B">
      <w:pPr>
        <w:keepNext/>
        <w:spacing w:after="120" w:line="240" w:lineRule="auto"/>
        <w:rPr>
          <w:rFonts w:asciiTheme="majorHAnsi" w:hAnsiTheme="majorHAnsi" w:cstheme="majorHAnsi"/>
          <w:b/>
          <w:sz w:val="24"/>
          <w:szCs w:val="24"/>
        </w:rPr>
      </w:pPr>
    </w:p>
    <w:p w14:paraId="000001A2" w14:textId="7CD290F7" w:rsidR="00C62A9B" w:rsidRPr="000D1EF3" w:rsidRDefault="00D11CD4" w:rsidP="00E43440">
      <w:pPr>
        <w:pStyle w:val="Heading2"/>
      </w:pPr>
      <w:bookmarkStart w:id="23" w:name="_Toc78795669"/>
      <w:r w:rsidRPr="000D1EF3">
        <w:t>2.1.3. Defalcare orientativă a resurselor programate (UE), în func</w:t>
      </w:r>
      <w:r w:rsidR="00812FFF" w:rsidRPr="000D1EF3">
        <w:t>ț</w:t>
      </w:r>
      <w:r w:rsidRPr="000D1EF3">
        <w:t>ie de tipul de interven</w:t>
      </w:r>
      <w:r w:rsidR="00812FFF" w:rsidRPr="000D1EF3">
        <w:t>ț</w:t>
      </w:r>
      <w:r w:rsidRPr="000D1EF3">
        <w:t>ie</w:t>
      </w:r>
      <w:bookmarkEnd w:id="23"/>
    </w:p>
    <w:p w14:paraId="000001A3"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(5) din RDC și  articolul 13 alineatul (18) din Regulamentul IMFV</w:t>
      </w:r>
    </w:p>
    <w:p w14:paraId="000001A4" w14:textId="77777777"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3: Defalcare orientativă</w:t>
      </w:r>
    </w:p>
    <w:tbl>
      <w:tblPr>
        <w:tblStyle w:val="a3"/>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400" w:firstRow="0" w:lastRow="0" w:firstColumn="0" w:lastColumn="0" w:noHBand="0" w:noVBand="1"/>
      </w:tblPr>
      <w:tblGrid>
        <w:gridCol w:w="738"/>
        <w:gridCol w:w="6193"/>
        <w:gridCol w:w="713"/>
        <w:gridCol w:w="1985"/>
      </w:tblGrid>
      <w:tr w:rsidR="00C62A9B" w:rsidRPr="000D1EF3" w14:paraId="5FF07742" w14:textId="77777777" w:rsidTr="00F05E48">
        <w:tc>
          <w:tcPr>
            <w:tcW w:w="738" w:type="dxa"/>
          </w:tcPr>
          <w:p w14:paraId="000001A5" w14:textId="77777777" w:rsidR="00C62A9B" w:rsidRPr="000D1EF3" w:rsidRDefault="00D11CD4" w:rsidP="00F05E48">
            <w:pPr>
              <w:rPr>
                <w:rFonts w:asciiTheme="majorHAnsi" w:hAnsiTheme="majorHAnsi" w:cstheme="majorHAnsi"/>
                <w:b/>
                <w:sz w:val="24"/>
                <w:szCs w:val="24"/>
              </w:rPr>
            </w:pPr>
            <w:r w:rsidRPr="000D1EF3">
              <w:rPr>
                <w:rFonts w:asciiTheme="majorHAnsi" w:hAnsiTheme="majorHAnsi" w:cstheme="majorHAnsi"/>
                <w:b/>
                <w:sz w:val="24"/>
                <w:szCs w:val="24"/>
              </w:rPr>
              <w:t xml:space="preserve">Obiectiv specific </w:t>
            </w:r>
          </w:p>
        </w:tc>
        <w:tc>
          <w:tcPr>
            <w:tcW w:w="6193" w:type="dxa"/>
          </w:tcPr>
          <w:p w14:paraId="000001A6" w14:textId="5F54C8CA" w:rsidR="00C62A9B" w:rsidRPr="000D1EF3" w:rsidRDefault="00D11CD4" w:rsidP="00F05E48">
            <w:pPr>
              <w:rPr>
                <w:rFonts w:asciiTheme="majorHAnsi" w:hAnsiTheme="majorHAnsi" w:cstheme="majorHAnsi"/>
                <w:b/>
                <w:sz w:val="24"/>
                <w:szCs w:val="24"/>
              </w:rPr>
            </w:pPr>
            <w:r w:rsidRPr="000D1EF3">
              <w:rPr>
                <w:rFonts w:asciiTheme="majorHAnsi" w:hAnsiTheme="majorHAnsi" w:cstheme="majorHAnsi"/>
                <w:b/>
                <w:sz w:val="24"/>
                <w:szCs w:val="24"/>
              </w:rPr>
              <w:t>Tip de interven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w:t>
            </w:r>
          </w:p>
        </w:tc>
        <w:tc>
          <w:tcPr>
            <w:tcW w:w="713" w:type="dxa"/>
          </w:tcPr>
          <w:p w14:paraId="000001A7" w14:textId="77777777" w:rsidR="00C62A9B" w:rsidRPr="000D1EF3" w:rsidRDefault="00D11CD4" w:rsidP="00F05E48">
            <w:pPr>
              <w:rPr>
                <w:rFonts w:asciiTheme="majorHAnsi" w:hAnsiTheme="majorHAnsi" w:cstheme="majorHAnsi"/>
                <w:b/>
                <w:sz w:val="24"/>
                <w:szCs w:val="24"/>
              </w:rPr>
            </w:pPr>
            <w:r w:rsidRPr="000D1EF3">
              <w:rPr>
                <w:rFonts w:asciiTheme="majorHAnsi" w:hAnsiTheme="majorHAnsi" w:cstheme="majorHAnsi"/>
                <w:b/>
                <w:sz w:val="24"/>
                <w:szCs w:val="24"/>
              </w:rPr>
              <w:t>Cod</w:t>
            </w:r>
          </w:p>
        </w:tc>
        <w:tc>
          <w:tcPr>
            <w:tcW w:w="1985" w:type="dxa"/>
          </w:tcPr>
          <w:p w14:paraId="000001A8" w14:textId="77777777" w:rsidR="00C62A9B" w:rsidRPr="000D1EF3" w:rsidRDefault="00D11CD4" w:rsidP="00F05E48">
            <w:pPr>
              <w:rPr>
                <w:rFonts w:asciiTheme="majorHAnsi" w:hAnsiTheme="majorHAnsi" w:cstheme="majorHAnsi"/>
                <w:b/>
                <w:sz w:val="24"/>
                <w:szCs w:val="24"/>
              </w:rPr>
            </w:pPr>
            <w:r w:rsidRPr="000D1EF3">
              <w:rPr>
                <w:rFonts w:asciiTheme="majorHAnsi" w:hAnsiTheme="majorHAnsi" w:cstheme="majorHAnsi"/>
                <w:b/>
                <w:sz w:val="24"/>
                <w:szCs w:val="24"/>
              </w:rPr>
              <w:t>Cuantum orientativ (EUR)</w:t>
            </w:r>
          </w:p>
        </w:tc>
      </w:tr>
      <w:tr w:rsidR="00C62A9B" w:rsidRPr="000D1EF3" w14:paraId="271BFF7C" w14:textId="77777777" w:rsidTr="00F05E48">
        <w:tc>
          <w:tcPr>
            <w:tcW w:w="738" w:type="dxa"/>
          </w:tcPr>
          <w:p w14:paraId="000001A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AA"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Verificări la frontiere</w:t>
            </w:r>
          </w:p>
        </w:tc>
        <w:tc>
          <w:tcPr>
            <w:tcW w:w="713" w:type="dxa"/>
          </w:tcPr>
          <w:p w14:paraId="000001A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001 </w:t>
            </w:r>
          </w:p>
        </w:tc>
        <w:tc>
          <w:tcPr>
            <w:tcW w:w="1985" w:type="dxa"/>
          </w:tcPr>
          <w:p w14:paraId="000001A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11,000,000</w:t>
            </w:r>
          </w:p>
        </w:tc>
      </w:tr>
      <w:tr w:rsidR="00C62A9B" w:rsidRPr="000D1EF3" w14:paraId="78251016" w14:textId="77777777" w:rsidTr="00F05E48">
        <w:tc>
          <w:tcPr>
            <w:tcW w:w="738" w:type="dxa"/>
          </w:tcPr>
          <w:p w14:paraId="000001A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AE"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Supravegherea frontierelor - echipamente aeriene</w:t>
            </w:r>
          </w:p>
        </w:tc>
        <w:tc>
          <w:tcPr>
            <w:tcW w:w="713" w:type="dxa"/>
          </w:tcPr>
          <w:p w14:paraId="000001A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002 </w:t>
            </w:r>
          </w:p>
        </w:tc>
        <w:tc>
          <w:tcPr>
            <w:tcW w:w="1985" w:type="dxa"/>
          </w:tcPr>
          <w:p w14:paraId="000001B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1,000,000</w:t>
            </w:r>
          </w:p>
        </w:tc>
      </w:tr>
      <w:tr w:rsidR="00C62A9B" w:rsidRPr="000D1EF3" w14:paraId="40E7063E" w14:textId="77777777" w:rsidTr="00F05E48">
        <w:tc>
          <w:tcPr>
            <w:tcW w:w="738" w:type="dxa"/>
          </w:tcPr>
          <w:p w14:paraId="000001B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B2"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Supravegherea frontierelor - echipamente terestre</w:t>
            </w:r>
          </w:p>
        </w:tc>
        <w:tc>
          <w:tcPr>
            <w:tcW w:w="713" w:type="dxa"/>
          </w:tcPr>
          <w:p w14:paraId="000001B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003</w:t>
            </w:r>
          </w:p>
        </w:tc>
        <w:tc>
          <w:tcPr>
            <w:tcW w:w="1985" w:type="dxa"/>
          </w:tcPr>
          <w:p w14:paraId="000001B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9,000,000</w:t>
            </w:r>
          </w:p>
        </w:tc>
      </w:tr>
      <w:tr w:rsidR="00C62A9B" w:rsidRPr="000D1EF3" w14:paraId="79E741E0" w14:textId="77777777" w:rsidTr="00F05E48">
        <w:trPr>
          <w:trHeight w:val="202"/>
        </w:trPr>
        <w:tc>
          <w:tcPr>
            <w:tcW w:w="738" w:type="dxa"/>
          </w:tcPr>
          <w:p w14:paraId="000001B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B6"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Supravegherea frontierelor - echipamente maritime</w:t>
            </w:r>
          </w:p>
        </w:tc>
        <w:tc>
          <w:tcPr>
            <w:tcW w:w="713" w:type="dxa"/>
          </w:tcPr>
          <w:p w14:paraId="000001B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004 </w:t>
            </w:r>
          </w:p>
        </w:tc>
        <w:tc>
          <w:tcPr>
            <w:tcW w:w="1985" w:type="dxa"/>
          </w:tcPr>
          <w:p w14:paraId="000001B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6,000,000</w:t>
            </w:r>
          </w:p>
        </w:tc>
      </w:tr>
      <w:tr w:rsidR="00C62A9B" w:rsidRPr="000D1EF3" w14:paraId="37D727E9" w14:textId="77777777" w:rsidTr="00F05E48">
        <w:tc>
          <w:tcPr>
            <w:tcW w:w="738" w:type="dxa"/>
          </w:tcPr>
          <w:p w14:paraId="000001B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BA"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Supravegherea frontierelor – sisteme automatizate de supraveghere a frontierelor</w:t>
            </w:r>
          </w:p>
        </w:tc>
        <w:tc>
          <w:tcPr>
            <w:tcW w:w="713" w:type="dxa"/>
          </w:tcPr>
          <w:p w14:paraId="000001B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005</w:t>
            </w:r>
          </w:p>
        </w:tc>
        <w:tc>
          <w:tcPr>
            <w:tcW w:w="1985" w:type="dxa"/>
          </w:tcPr>
          <w:p w14:paraId="000001B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5422E119" w14:textId="77777777" w:rsidTr="00F05E48">
        <w:tc>
          <w:tcPr>
            <w:tcW w:w="738" w:type="dxa"/>
          </w:tcPr>
          <w:p w14:paraId="000001B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BE"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Supravegherea frontierelor - alte măsuri</w:t>
            </w:r>
          </w:p>
        </w:tc>
        <w:tc>
          <w:tcPr>
            <w:tcW w:w="713" w:type="dxa"/>
          </w:tcPr>
          <w:p w14:paraId="000001B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006 </w:t>
            </w:r>
          </w:p>
        </w:tc>
        <w:tc>
          <w:tcPr>
            <w:tcW w:w="1985" w:type="dxa"/>
          </w:tcPr>
          <w:p w14:paraId="000001C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39,000,000</w:t>
            </w:r>
          </w:p>
        </w:tc>
      </w:tr>
      <w:tr w:rsidR="00C62A9B" w:rsidRPr="000D1EF3" w14:paraId="5922528C" w14:textId="77777777" w:rsidTr="00F05E48">
        <w:tc>
          <w:tcPr>
            <w:tcW w:w="738" w:type="dxa"/>
          </w:tcPr>
          <w:p w14:paraId="000001C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C2" w14:textId="5B97D5F6"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Măsuri tehnice și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în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iul Schengen, legate de controlul la frontiere</w:t>
            </w:r>
          </w:p>
        </w:tc>
        <w:tc>
          <w:tcPr>
            <w:tcW w:w="713" w:type="dxa"/>
          </w:tcPr>
          <w:p w14:paraId="000001C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007</w:t>
            </w:r>
          </w:p>
        </w:tc>
        <w:tc>
          <w:tcPr>
            <w:tcW w:w="1985" w:type="dxa"/>
          </w:tcPr>
          <w:p w14:paraId="000001C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14C5B63B" w14:textId="77777777" w:rsidTr="00F05E48">
        <w:trPr>
          <w:trHeight w:val="59"/>
        </w:trPr>
        <w:tc>
          <w:tcPr>
            <w:tcW w:w="738" w:type="dxa"/>
          </w:tcPr>
          <w:p w14:paraId="000001C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C6" w14:textId="297D5B59"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Conștientizarea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și schimbul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w:t>
            </w:r>
          </w:p>
        </w:tc>
        <w:tc>
          <w:tcPr>
            <w:tcW w:w="713" w:type="dxa"/>
          </w:tcPr>
          <w:p w14:paraId="000001C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008</w:t>
            </w:r>
          </w:p>
        </w:tc>
        <w:tc>
          <w:tcPr>
            <w:tcW w:w="1985" w:type="dxa"/>
          </w:tcPr>
          <w:p w14:paraId="000001C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1,000,000</w:t>
            </w:r>
          </w:p>
        </w:tc>
      </w:tr>
      <w:tr w:rsidR="00C62A9B" w:rsidRPr="000D1EF3" w14:paraId="7FECA216" w14:textId="77777777" w:rsidTr="00F05E48">
        <w:tc>
          <w:tcPr>
            <w:tcW w:w="738" w:type="dxa"/>
          </w:tcPr>
          <w:p w14:paraId="000001C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CA"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Analiza riscurilor</w:t>
            </w:r>
          </w:p>
        </w:tc>
        <w:tc>
          <w:tcPr>
            <w:tcW w:w="713" w:type="dxa"/>
          </w:tcPr>
          <w:p w14:paraId="000001C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009</w:t>
            </w:r>
          </w:p>
        </w:tc>
        <w:tc>
          <w:tcPr>
            <w:tcW w:w="1985" w:type="dxa"/>
          </w:tcPr>
          <w:p w14:paraId="000001C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34133016" w14:textId="77777777" w:rsidTr="00F05E48">
        <w:tc>
          <w:tcPr>
            <w:tcW w:w="738" w:type="dxa"/>
          </w:tcPr>
          <w:p w14:paraId="000001C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CE" w14:textId="5769F9A9"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Prelucrarea datelor și a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w:t>
            </w:r>
          </w:p>
        </w:tc>
        <w:tc>
          <w:tcPr>
            <w:tcW w:w="713" w:type="dxa"/>
          </w:tcPr>
          <w:p w14:paraId="000001C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010</w:t>
            </w:r>
          </w:p>
        </w:tc>
        <w:tc>
          <w:tcPr>
            <w:tcW w:w="1985" w:type="dxa"/>
          </w:tcPr>
          <w:p w14:paraId="000001D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5F288CD7" w14:textId="77777777" w:rsidTr="00F05E48">
        <w:trPr>
          <w:trHeight w:val="83"/>
        </w:trPr>
        <w:tc>
          <w:tcPr>
            <w:tcW w:w="738" w:type="dxa"/>
          </w:tcPr>
          <w:p w14:paraId="000001D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D2"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Zonele </w:t>
            </w:r>
            <w:proofErr w:type="spellStart"/>
            <w:r w:rsidRPr="000D1EF3">
              <w:rPr>
                <w:rFonts w:asciiTheme="majorHAnsi" w:hAnsiTheme="majorHAnsi" w:cstheme="majorHAnsi"/>
                <w:sz w:val="24"/>
                <w:szCs w:val="24"/>
              </w:rPr>
              <w:t>hotspot</w:t>
            </w:r>
            <w:proofErr w:type="spellEnd"/>
          </w:p>
        </w:tc>
        <w:tc>
          <w:tcPr>
            <w:tcW w:w="713" w:type="dxa"/>
          </w:tcPr>
          <w:p w14:paraId="000001D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011</w:t>
            </w:r>
          </w:p>
        </w:tc>
        <w:tc>
          <w:tcPr>
            <w:tcW w:w="1985" w:type="dxa"/>
          </w:tcPr>
          <w:p w14:paraId="000001D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31AFED92" w14:textId="77777777" w:rsidTr="00F05E48">
        <w:trPr>
          <w:trHeight w:val="502"/>
        </w:trPr>
        <w:tc>
          <w:tcPr>
            <w:tcW w:w="738" w:type="dxa"/>
          </w:tcPr>
          <w:p w14:paraId="000001D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D6"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Măsuri legate de identificarea și îndrumarea persoanelor vulnerabile </w:t>
            </w:r>
          </w:p>
        </w:tc>
        <w:tc>
          <w:tcPr>
            <w:tcW w:w="713" w:type="dxa"/>
          </w:tcPr>
          <w:p w14:paraId="000001D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012</w:t>
            </w:r>
          </w:p>
        </w:tc>
        <w:tc>
          <w:tcPr>
            <w:tcW w:w="1985" w:type="dxa"/>
          </w:tcPr>
          <w:p w14:paraId="000001D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4539CF3C" w14:textId="77777777" w:rsidTr="00F05E48">
        <w:tc>
          <w:tcPr>
            <w:tcW w:w="738" w:type="dxa"/>
          </w:tcPr>
          <w:p w14:paraId="000001D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DA" w14:textId="5D0DCD4C"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Măsuri legate de identificarea și îndrumarea persoanelor care au nevoie de protec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sau care doresc să o solicite</w:t>
            </w:r>
          </w:p>
        </w:tc>
        <w:tc>
          <w:tcPr>
            <w:tcW w:w="713" w:type="dxa"/>
          </w:tcPr>
          <w:p w14:paraId="000001D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013</w:t>
            </w:r>
          </w:p>
        </w:tc>
        <w:tc>
          <w:tcPr>
            <w:tcW w:w="1985" w:type="dxa"/>
          </w:tcPr>
          <w:p w14:paraId="000001D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55CFF86D" w14:textId="77777777" w:rsidTr="00F05E48">
        <w:trPr>
          <w:trHeight w:val="191"/>
        </w:trPr>
        <w:tc>
          <w:tcPr>
            <w:tcW w:w="738" w:type="dxa"/>
          </w:tcPr>
          <w:p w14:paraId="000001D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DE" w14:textId="4042DEC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Dezvoltarea poli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de frontieră și a gărzii de coastă la nivel european</w:t>
            </w:r>
          </w:p>
        </w:tc>
        <w:tc>
          <w:tcPr>
            <w:tcW w:w="713" w:type="dxa"/>
          </w:tcPr>
          <w:p w14:paraId="000001D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014</w:t>
            </w:r>
          </w:p>
        </w:tc>
        <w:tc>
          <w:tcPr>
            <w:tcW w:w="1985" w:type="dxa"/>
          </w:tcPr>
          <w:p w14:paraId="000001E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1,500,000</w:t>
            </w:r>
          </w:p>
        </w:tc>
      </w:tr>
      <w:tr w:rsidR="00C62A9B" w:rsidRPr="000D1EF3" w14:paraId="267A6051" w14:textId="77777777" w:rsidTr="00F05E48">
        <w:tc>
          <w:tcPr>
            <w:tcW w:w="738" w:type="dxa"/>
          </w:tcPr>
          <w:p w14:paraId="000001E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E2" w14:textId="3C25EE4D"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Cooperarea interinstitu</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ională - nivel na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w:t>
            </w:r>
          </w:p>
        </w:tc>
        <w:tc>
          <w:tcPr>
            <w:tcW w:w="713" w:type="dxa"/>
          </w:tcPr>
          <w:p w14:paraId="000001E3" w14:textId="77777777"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015</w:t>
            </w:r>
          </w:p>
        </w:tc>
        <w:tc>
          <w:tcPr>
            <w:tcW w:w="1985" w:type="dxa"/>
          </w:tcPr>
          <w:p w14:paraId="000001E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200,000</w:t>
            </w:r>
          </w:p>
        </w:tc>
      </w:tr>
      <w:tr w:rsidR="00C62A9B" w:rsidRPr="000D1EF3" w14:paraId="3FCDBA6C" w14:textId="77777777" w:rsidTr="00F05E48">
        <w:tc>
          <w:tcPr>
            <w:tcW w:w="738" w:type="dxa"/>
          </w:tcPr>
          <w:p w14:paraId="000001E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E6" w14:textId="5E09D44D"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Cooperarea interinstitu</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ională - nivelul Uniunii</w:t>
            </w:r>
          </w:p>
        </w:tc>
        <w:tc>
          <w:tcPr>
            <w:tcW w:w="713" w:type="dxa"/>
          </w:tcPr>
          <w:p w14:paraId="000001E7" w14:textId="77777777"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016</w:t>
            </w:r>
          </w:p>
        </w:tc>
        <w:tc>
          <w:tcPr>
            <w:tcW w:w="1985" w:type="dxa"/>
          </w:tcPr>
          <w:p w14:paraId="000001E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200,000</w:t>
            </w:r>
          </w:p>
        </w:tc>
      </w:tr>
      <w:tr w:rsidR="00C62A9B" w:rsidRPr="000D1EF3" w14:paraId="5275A783" w14:textId="77777777" w:rsidTr="00F05E48">
        <w:tc>
          <w:tcPr>
            <w:tcW w:w="738" w:type="dxa"/>
          </w:tcPr>
          <w:p w14:paraId="000001E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EA" w14:textId="336D6CB3"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Cooperarea interinstitu</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 xml:space="preserve">ională - cu </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ările ter</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e</w:t>
            </w:r>
          </w:p>
        </w:tc>
        <w:tc>
          <w:tcPr>
            <w:tcW w:w="713" w:type="dxa"/>
          </w:tcPr>
          <w:p w14:paraId="000001EB" w14:textId="77777777" w:rsidR="00C62A9B" w:rsidRPr="000D1EF3" w:rsidRDefault="00D11CD4" w:rsidP="00F05E48">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017</w:t>
            </w:r>
          </w:p>
        </w:tc>
        <w:tc>
          <w:tcPr>
            <w:tcW w:w="1985" w:type="dxa"/>
          </w:tcPr>
          <w:p w14:paraId="000001E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100,000</w:t>
            </w:r>
          </w:p>
        </w:tc>
      </w:tr>
      <w:tr w:rsidR="00C62A9B" w:rsidRPr="000D1EF3" w14:paraId="06A8241C" w14:textId="77777777" w:rsidTr="00F05E48">
        <w:tc>
          <w:tcPr>
            <w:tcW w:w="738" w:type="dxa"/>
          </w:tcPr>
          <w:p w14:paraId="000001E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EE" w14:textId="554DA956"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Trimiterea în comun de ofi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eri de legătură în materie de imigra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w:t>
            </w:r>
          </w:p>
        </w:tc>
        <w:tc>
          <w:tcPr>
            <w:tcW w:w="713" w:type="dxa"/>
          </w:tcPr>
          <w:p w14:paraId="000001E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018</w:t>
            </w:r>
          </w:p>
        </w:tc>
        <w:tc>
          <w:tcPr>
            <w:tcW w:w="1985" w:type="dxa"/>
          </w:tcPr>
          <w:p w14:paraId="000001F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300,000</w:t>
            </w:r>
          </w:p>
        </w:tc>
      </w:tr>
      <w:tr w:rsidR="00C62A9B" w:rsidRPr="000D1EF3" w14:paraId="7B7DFFA3" w14:textId="77777777" w:rsidTr="00F05E48">
        <w:tc>
          <w:tcPr>
            <w:tcW w:w="738" w:type="dxa"/>
          </w:tcPr>
          <w:p w14:paraId="000001F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F2" w14:textId="74BE2D01" w:rsidR="00C62A9B" w:rsidRPr="000D1EF3" w:rsidRDefault="00731902" w:rsidP="00F05E48">
            <w:pPr>
              <w:rPr>
                <w:rFonts w:asciiTheme="majorHAnsi" w:hAnsiTheme="majorHAnsi" w:cstheme="majorHAnsi"/>
                <w:sz w:val="24"/>
                <w:szCs w:val="24"/>
              </w:rPr>
            </w:pPr>
            <w:r w:rsidRPr="000D1EF3">
              <w:rPr>
                <w:rFonts w:asciiTheme="majorHAnsi" w:hAnsiTheme="majorHAnsi" w:cstheme="majorHAnsi"/>
                <w:sz w:val="24"/>
                <w:szCs w:val="24"/>
              </w:rPr>
              <w:t>S</w:t>
            </w:r>
            <w:r w:rsidR="00D11CD4" w:rsidRPr="000D1EF3">
              <w:rPr>
                <w:rFonts w:asciiTheme="majorHAnsi" w:hAnsiTheme="majorHAnsi" w:cstheme="majorHAnsi"/>
                <w:sz w:val="24"/>
                <w:szCs w:val="24"/>
              </w:rPr>
              <w:t xml:space="preserve">isteme informatice la scară largă – </w:t>
            </w:r>
            <w:proofErr w:type="spellStart"/>
            <w:r w:rsidR="00D11CD4" w:rsidRPr="000D1EF3">
              <w:rPr>
                <w:rFonts w:asciiTheme="majorHAnsi" w:hAnsiTheme="majorHAnsi" w:cstheme="majorHAnsi"/>
                <w:sz w:val="24"/>
                <w:szCs w:val="24"/>
              </w:rPr>
              <w:t>Eurodac</w:t>
            </w:r>
            <w:proofErr w:type="spellEnd"/>
            <w:r w:rsidR="00D11CD4" w:rsidRPr="000D1EF3">
              <w:rPr>
                <w:rFonts w:asciiTheme="majorHAnsi" w:hAnsiTheme="majorHAnsi" w:cstheme="majorHAnsi"/>
                <w:sz w:val="24"/>
                <w:szCs w:val="24"/>
              </w:rPr>
              <w:t xml:space="preserve"> în scopul managementului frontierelor</w:t>
            </w:r>
          </w:p>
        </w:tc>
        <w:tc>
          <w:tcPr>
            <w:tcW w:w="713" w:type="dxa"/>
          </w:tcPr>
          <w:p w14:paraId="000001F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019</w:t>
            </w:r>
          </w:p>
        </w:tc>
        <w:tc>
          <w:tcPr>
            <w:tcW w:w="1985" w:type="dxa"/>
          </w:tcPr>
          <w:p w14:paraId="000001F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2BC51CA2" w14:textId="77777777" w:rsidTr="00F05E48">
        <w:tc>
          <w:tcPr>
            <w:tcW w:w="738" w:type="dxa"/>
          </w:tcPr>
          <w:p w14:paraId="000001F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F6" w14:textId="4559D616"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Sisteme informatice la scară largă - Sistemul de intrare/ieșire (EES)</w:t>
            </w:r>
          </w:p>
        </w:tc>
        <w:tc>
          <w:tcPr>
            <w:tcW w:w="713" w:type="dxa"/>
          </w:tcPr>
          <w:p w14:paraId="000001F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020</w:t>
            </w:r>
          </w:p>
        </w:tc>
        <w:tc>
          <w:tcPr>
            <w:tcW w:w="1985" w:type="dxa"/>
          </w:tcPr>
          <w:p w14:paraId="000001F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2,000,000</w:t>
            </w:r>
          </w:p>
        </w:tc>
      </w:tr>
      <w:tr w:rsidR="00C62A9B" w:rsidRPr="000D1EF3" w14:paraId="43E8359D" w14:textId="77777777" w:rsidTr="00F05E48">
        <w:tc>
          <w:tcPr>
            <w:tcW w:w="738" w:type="dxa"/>
          </w:tcPr>
          <w:p w14:paraId="000001F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FA" w14:textId="58660398"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Sisteme informatice la scară largă - Sistemul european de informa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și de autorizare privind călătoriile (ETIAS) - altele</w:t>
            </w:r>
          </w:p>
        </w:tc>
        <w:tc>
          <w:tcPr>
            <w:tcW w:w="713" w:type="dxa"/>
          </w:tcPr>
          <w:p w14:paraId="000001F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021</w:t>
            </w:r>
          </w:p>
        </w:tc>
        <w:tc>
          <w:tcPr>
            <w:tcW w:w="1985" w:type="dxa"/>
          </w:tcPr>
          <w:p w14:paraId="000001F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3E5D9BCE" w14:textId="77777777" w:rsidTr="00F05E48">
        <w:tc>
          <w:tcPr>
            <w:tcW w:w="738" w:type="dxa"/>
          </w:tcPr>
          <w:p w14:paraId="000001F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1FE" w14:textId="1E47D8EE"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Sisteme informatice la scară largă - Sistemul european de informa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și de autorizare privind călătoriile (ETIAS) - articolul 85 alineatul (2) din Regulamentul (UE) 2018/1240</w:t>
            </w:r>
          </w:p>
        </w:tc>
        <w:tc>
          <w:tcPr>
            <w:tcW w:w="713" w:type="dxa"/>
          </w:tcPr>
          <w:p w14:paraId="000001F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022</w:t>
            </w:r>
          </w:p>
        </w:tc>
        <w:tc>
          <w:tcPr>
            <w:tcW w:w="1985" w:type="dxa"/>
          </w:tcPr>
          <w:p w14:paraId="0000020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282F0A86" w14:textId="77777777" w:rsidTr="00F05E48">
        <w:tc>
          <w:tcPr>
            <w:tcW w:w="738" w:type="dxa"/>
          </w:tcPr>
          <w:p w14:paraId="0000020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lastRenderedPageBreak/>
              <w:t>1</w:t>
            </w:r>
          </w:p>
        </w:tc>
        <w:tc>
          <w:tcPr>
            <w:tcW w:w="6193" w:type="dxa"/>
          </w:tcPr>
          <w:p w14:paraId="00000202" w14:textId="462D7172"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Sisteme informatice la scară largă - Sistemul european de informa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și de autorizare privind călătoriile (ETIAS) - articolul 85 alineatul (3) din Regulamentul (UE) 2018/1240</w:t>
            </w:r>
          </w:p>
        </w:tc>
        <w:tc>
          <w:tcPr>
            <w:tcW w:w="713" w:type="dxa"/>
          </w:tcPr>
          <w:p w14:paraId="0000020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023</w:t>
            </w:r>
          </w:p>
        </w:tc>
        <w:tc>
          <w:tcPr>
            <w:tcW w:w="1985" w:type="dxa"/>
          </w:tcPr>
          <w:p w14:paraId="0000020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2FB3849B" w14:textId="77777777" w:rsidTr="00F05E48">
        <w:tc>
          <w:tcPr>
            <w:tcW w:w="738" w:type="dxa"/>
          </w:tcPr>
          <w:p w14:paraId="0000020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06" w14:textId="34ED3698"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Sisteme informatice la scară largă - Sistemul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Schengen (SIS)</w:t>
            </w:r>
          </w:p>
        </w:tc>
        <w:tc>
          <w:tcPr>
            <w:tcW w:w="713" w:type="dxa"/>
          </w:tcPr>
          <w:p w14:paraId="0000020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 xml:space="preserve">024 </w:t>
            </w:r>
          </w:p>
        </w:tc>
        <w:tc>
          <w:tcPr>
            <w:tcW w:w="1985" w:type="dxa"/>
          </w:tcPr>
          <w:p w14:paraId="0000020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9,000,000</w:t>
            </w:r>
          </w:p>
        </w:tc>
      </w:tr>
      <w:tr w:rsidR="00C62A9B" w:rsidRPr="000D1EF3" w14:paraId="14F3048E" w14:textId="77777777" w:rsidTr="00F05E48">
        <w:tc>
          <w:tcPr>
            <w:tcW w:w="738" w:type="dxa"/>
          </w:tcPr>
          <w:p w14:paraId="0000020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0A"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highlight w:val="white"/>
              </w:rPr>
              <w:t>Sisteme informatice la scară largă - Interoperabilitate</w:t>
            </w:r>
          </w:p>
        </w:tc>
        <w:tc>
          <w:tcPr>
            <w:tcW w:w="713" w:type="dxa"/>
          </w:tcPr>
          <w:p w14:paraId="0000020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025</w:t>
            </w:r>
          </w:p>
        </w:tc>
        <w:tc>
          <w:tcPr>
            <w:tcW w:w="1985" w:type="dxa"/>
          </w:tcPr>
          <w:p w14:paraId="0000020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500,000</w:t>
            </w:r>
          </w:p>
        </w:tc>
      </w:tr>
      <w:tr w:rsidR="00C62A9B" w:rsidRPr="000D1EF3" w14:paraId="4A0271AF" w14:textId="77777777" w:rsidTr="00F05E48">
        <w:tc>
          <w:tcPr>
            <w:tcW w:w="738" w:type="dxa"/>
          </w:tcPr>
          <w:p w14:paraId="0000020D"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0E" w14:textId="3B0F4818"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Sprijin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 Managementul integrat al frontierelor</w:t>
            </w:r>
          </w:p>
        </w:tc>
        <w:tc>
          <w:tcPr>
            <w:tcW w:w="713" w:type="dxa"/>
          </w:tcPr>
          <w:p w14:paraId="0000020F"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026</w:t>
            </w:r>
          </w:p>
        </w:tc>
        <w:tc>
          <w:tcPr>
            <w:tcW w:w="1985" w:type="dxa"/>
          </w:tcPr>
          <w:p w14:paraId="00000210"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7,000,000</w:t>
            </w:r>
          </w:p>
        </w:tc>
      </w:tr>
      <w:tr w:rsidR="00C62A9B" w:rsidRPr="000D1EF3" w14:paraId="5AD025F5" w14:textId="77777777" w:rsidTr="00F05E48">
        <w:tc>
          <w:tcPr>
            <w:tcW w:w="738" w:type="dxa"/>
          </w:tcPr>
          <w:p w14:paraId="00000211"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12" w14:textId="402C51C0"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Sprijin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 Sisteme informatice la scară largă în scopul managementului frontierelor</w:t>
            </w:r>
          </w:p>
        </w:tc>
        <w:tc>
          <w:tcPr>
            <w:tcW w:w="713" w:type="dxa"/>
          </w:tcPr>
          <w:p w14:paraId="00000213"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027</w:t>
            </w:r>
          </w:p>
        </w:tc>
        <w:tc>
          <w:tcPr>
            <w:tcW w:w="1985" w:type="dxa"/>
          </w:tcPr>
          <w:p w14:paraId="00000214"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2,000,000</w:t>
            </w:r>
          </w:p>
        </w:tc>
      </w:tr>
      <w:tr w:rsidR="00C62A9B" w:rsidRPr="000D1EF3" w14:paraId="7E4D0A9B" w14:textId="77777777" w:rsidTr="00F05E48">
        <w:tc>
          <w:tcPr>
            <w:tcW w:w="738" w:type="dxa"/>
          </w:tcPr>
          <w:p w14:paraId="00000215"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16" w14:textId="3101A831"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Sprijin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 Regimul special de tranzit</w:t>
            </w:r>
          </w:p>
        </w:tc>
        <w:tc>
          <w:tcPr>
            <w:tcW w:w="713" w:type="dxa"/>
          </w:tcPr>
          <w:p w14:paraId="00000217"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028</w:t>
            </w:r>
          </w:p>
        </w:tc>
        <w:tc>
          <w:tcPr>
            <w:tcW w:w="1985" w:type="dxa"/>
          </w:tcPr>
          <w:p w14:paraId="00000218"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6C9CDE02" w14:textId="77777777" w:rsidTr="00F05E48">
        <w:trPr>
          <w:trHeight w:val="725"/>
        </w:trPr>
        <w:tc>
          <w:tcPr>
            <w:tcW w:w="738" w:type="dxa"/>
          </w:tcPr>
          <w:p w14:paraId="00000219"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1</w:t>
            </w:r>
          </w:p>
        </w:tc>
        <w:tc>
          <w:tcPr>
            <w:tcW w:w="6193" w:type="dxa"/>
          </w:tcPr>
          <w:p w14:paraId="0000021A" w14:textId="7A83AC5A"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Calitatea datelor și dreptul persoanelor vizate la informare, dreptul de acces la datele lor cu caracter personal, de rectificare și de ștergere a acestora și de restric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 a prelucrării acestora</w:t>
            </w:r>
          </w:p>
        </w:tc>
        <w:tc>
          <w:tcPr>
            <w:tcW w:w="713" w:type="dxa"/>
          </w:tcPr>
          <w:p w14:paraId="0000021B" w14:textId="77777777" w:rsidR="00C62A9B" w:rsidRPr="000D1EF3" w:rsidRDefault="00D11CD4" w:rsidP="00F05E48">
            <w:pPr>
              <w:rPr>
                <w:rFonts w:asciiTheme="majorHAnsi" w:hAnsiTheme="majorHAnsi" w:cstheme="majorHAnsi"/>
                <w:sz w:val="24"/>
                <w:szCs w:val="24"/>
              </w:rPr>
            </w:pPr>
            <w:r w:rsidRPr="000D1EF3">
              <w:rPr>
                <w:rFonts w:asciiTheme="majorHAnsi" w:hAnsiTheme="majorHAnsi" w:cstheme="majorHAnsi"/>
                <w:sz w:val="24"/>
                <w:szCs w:val="24"/>
              </w:rPr>
              <w:t>029</w:t>
            </w:r>
          </w:p>
        </w:tc>
        <w:tc>
          <w:tcPr>
            <w:tcW w:w="1985" w:type="dxa"/>
          </w:tcPr>
          <w:p w14:paraId="0000021C" w14:textId="77777777" w:rsidR="00C62A9B" w:rsidRPr="000D1EF3" w:rsidRDefault="00D11CD4" w:rsidP="00F05E48">
            <w:pPr>
              <w:jc w:val="right"/>
              <w:rPr>
                <w:rFonts w:asciiTheme="majorHAnsi" w:hAnsiTheme="majorHAnsi" w:cstheme="majorHAnsi"/>
                <w:sz w:val="24"/>
                <w:szCs w:val="24"/>
              </w:rPr>
            </w:pPr>
            <w:r w:rsidRPr="000D1EF3">
              <w:rPr>
                <w:rFonts w:asciiTheme="majorHAnsi" w:hAnsiTheme="majorHAnsi" w:cstheme="majorHAnsi"/>
                <w:sz w:val="24"/>
                <w:szCs w:val="24"/>
              </w:rPr>
              <w:t>0</w:t>
            </w:r>
          </w:p>
        </w:tc>
      </w:tr>
    </w:tbl>
    <w:p w14:paraId="00000221" w14:textId="77777777" w:rsidR="00C62A9B" w:rsidRPr="000D1EF3" w:rsidRDefault="00C62A9B">
      <w:pPr>
        <w:tabs>
          <w:tab w:val="left" w:pos="9072"/>
        </w:tabs>
        <w:spacing w:after="120" w:line="240" w:lineRule="auto"/>
        <w:ind w:left="140" w:right="500"/>
        <w:jc w:val="both"/>
        <w:rPr>
          <w:rFonts w:asciiTheme="majorHAnsi" w:hAnsiTheme="majorHAnsi" w:cstheme="majorHAnsi"/>
          <w:sz w:val="24"/>
          <w:szCs w:val="24"/>
        </w:rPr>
      </w:pPr>
    </w:p>
    <w:p w14:paraId="00000222" w14:textId="1DBC9F7E" w:rsidR="00C62A9B" w:rsidRPr="000D1EF3" w:rsidRDefault="00D11CD4" w:rsidP="00E43440">
      <w:pPr>
        <w:pStyle w:val="Heading1"/>
      </w:pPr>
      <w:bookmarkStart w:id="24" w:name="_Toc78795670"/>
      <w:r w:rsidRPr="000D1EF3">
        <w:t>2.1. OS2 - Sprijinirea politicii comune în domeniul vizelor în scopul facilitării călătoriilor în scopuri legitime și al prevenirii riscurilor în materie de migra</w:t>
      </w:r>
      <w:r w:rsidR="00812FFF" w:rsidRPr="000D1EF3">
        <w:t>ț</w:t>
      </w:r>
      <w:r w:rsidRPr="000D1EF3">
        <w:t>ie și de securitate.</w:t>
      </w:r>
      <w:bookmarkEnd w:id="24"/>
    </w:p>
    <w:p w14:paraId="00000223" w14:textId="77777777" w:rsidR="00C62A9B" w:rsidRPr="000D1EF3" w:rsidRDefault="00D11CD4" w:rsidP="00E43440">
      <w:pPr>
        <w:pStyle w:val="Heading2"/>
      </w:pPr>
      <w:bookmarkStart w:id="25" w:name="_Toc78795671"/>
      <w:r w:rsidRPr="000D1EF3">
        <w:t>2.1.1. OS2 Descrierea unui obiectiv specific</w:t>
      </w:r>
      <w:bookmarkEnd w:id="25"/>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C62A9B" w:rsidRPr="000D1EF3" w14:paraId="58FDDCC0" w14:textId="77777777">
        <w:tc>
          <w:tcPr>
            <w:tcW w:w="9628" w:type="dxa"/>
          </w:tcPr>
          <w:p w14:paraId="00000224" w14:textId="4385A23F" w:rsidR="00C62A9B" w:rsidRPr="000D1EF3" w:rsidRDefault="00D11CD4">
            <w:pPr>
              <w:rPr>
                <w:rFonts w:asciiTheme="majorHAnsi" w:hAnsiTheme="majorHAnsi" w:cstheme="majorHAnsi"/>
                <w:sz w:val="24"/>
                <w:szCs w:val="24"/>
              </w:rPr>
            </w:pPr>
            <w:r w:rsidRPr="000D1EF3">
              <w:rPr>
                <w:rFonts w:asciiTheme="majorHAnsi" w:hAnsiTheme="majorHAnsi" w:cstheme="majorHAnsi"/>
                <w:i/>
                <w:color w:val="808080" w:themeColor="background1" w:themeShade="80"/>
                <w:sz w:val="24"/>
                <w:szCs w:val="24"/>
              </w:rPr>
              <w:t>Această sec</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iune descrie, pentru fiecare obiectiv specific, situa</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ia ini</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ială și principalele provocări și propune măsuri sprijinite de fond. Descrie care sunt măsurile de punere în aplicare abordate cu sprijinul fondului și prevede o listă orientativă de ac</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iuni care intră în domeniul de aplicare al articolelor 3 și 4 din Regulamentul FAMI, FSI sau IMFV. Mai exact, în ceea ce privește sprijinul opera</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ional, ea oferă o explica</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ie în conformitate cu articolul 21 din Regulamentul FAMI, articolul 16 din Regulamentul FSI, sau cu articolele 16 și 17 din Regulamentul IMFV. Ea include o listă orientativă a beneficiarilor, cu responsabilită</w:t>
            </w:r>
            <w:r w:rsidR="00812FFF" w:rsidRPr="000D1EF3">
              <w:rPr>
                <w:rFonts w:asciiTheme="majorHAnsi" w:hAnsiTheme="majorHAnsi" w:cstheme="majorHAnsi"/>
                <w:i/>
                <w:color w:val="808080" w:themeColor="background1" w:themeShade="80"/>
                <w:sz w:val="24"/>
                <w:szCs w:val="24"/>
              </w:rPr>
              <w:t>ț</w:t>
            </w:r>
            <w:r w:rsidRPr="000D1EF3">
              <w:rPr>
                <w:rFonts w:asciiTheme="majorHAnsi" w:hAnsiTheme="majorHAnsi" w:cstheme="majorHAnsi"/>
                <w:i/>
                <w:color w:val="808080" w:themeColor="background1" w:themeShade="80"/>
                <w:sz w:val="24"/>
                <w:szCs w:val="24"/>
              </w:rPr>
              <w:t>ile lor statutare și principalele sarcini care urmează să fie sprijinite. Utilizarea planificată a instrumentelor financiare, dacă este cazul. Câmp de text (16 000 de caractere)</w:t>
            </w:r>
          </w:p>
        </w:tc>
      </w:tr>
    </w:tbl>
    <w:p w14:paraId="00000225" w14:textId="77777777" w:rsidR="00C62A9B" w:rsidRPr="000D1EF3" w:rsidRDefault="00C62A9B">
      <w:pPr>
        <w:spacing w:after="120" w:line="240" w:lineRule="auto"/>
        <w:jc w:val="both"/>
        <w:rPr>
          <w:rFonts w:asciiTheme="majorHAnsi" w:hAnsiTheme="majorHAnsi" w:cstheme="majorHAnsi"/>
          <w:sz w:val="24"/>
          <w:szCs w:val="24"/>
        </w:rPr>
      </w:pPr>
    </w:p>
    <w:p w14:paraId="00000226" w14:textId="17007399"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cadrul </w:t>
      </w:r>
      <w:r w:rsidRPr="000D1EF3">
        <w:rPr>
          <w:rFonts w:asciiTheme="majorHAnsi" w:hAnsiTheme="majorHAnsi" w:cstheme="majorHAnsi"/>
          <w:b/>
          <w:sz w:val="24"/>
          <w:szCs w:val="24"/>
        </w:rPr>
        <w:t>politicii comune de vize</w:t>
      </w:r>
      <w:r w:rsidRPr="000D1EF3">
        <w:rPr>
          <w:rFonts w:asciiTheme="majorHAnsi" w:hAnsiTheme="majorHAnsi" w:cstheme="majorHAnsi"/>
          <w:sz w:val="24"/>
          <w:szCs w:val="24"/>
        </w:rPr>
        <w:t>, RO are ca scop să sprijine și să extindă capacitatea existentă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pentru a asigura aplicarea corectă a acquis ului UE în ceea ce privește vizele, ca o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pentru aderarea RO la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iul Schengen. </w:t>
      </w:r>
    </w:p>
    <w:p w14:paraId="00000227" w14:textId="716FE165" w:rsidR="00C62A9B" w:rsidRPr="000D1EF3" w:rsidRDefault="00D11CD4">
      <w:pPr>
        <w:spacing w:after="120" w:line="240" w:lineRule="auto"/>
        <w:ind w:left="11"/>
        <w:jc w:val="both"/>
        <w:rPr>
          <w:rFonts w:asciiTheme="majorHAnsi" w:hAnsiTheme="majorHAnsi" w:cstheme="majorHAnsi"/>
          <w:sz w:val="24"/>
          <w:szCs w:val="24"/>
        </w:rPr>
      </w:pPr>
      <w:r w:rsidRPr="000D1EF3">
        <w:rPr>
          <w:rFonts w:asciiTheme="majorHAnsi" w:hAnsiTheme="majorHAnsi" w:cstheme="majorHAnsi"/>
          <w:sz w:val="24"/>
          <w:szCs w:val="24"/>
        </w:rPr>
        <w:t xml:space="preserve">Pentru a contribui la realizarea obiectivului specific, RO se va axa pe următoarele </w:t>
      </w:r>
      <w:r w:rsidRPr="000D1EF3">
        <w:rPr>
          <w:rFonts w:asciiTheme="majorHAnsi" w:hAnsiTheme="majorHAnsi" w:cstheme="majorHAnsi"/>
          <w:b/>
          <w:sz w:val="24"/>
          <w:szCs w:val="24"/>
        </w:rPr>
        <w:t>măsuri de interven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w:t>
      </w:r>
      <w:r w:rsidRPr="000D1EF3">
        <w:rPr>
          <w:rFonts w:asciiTheme="majorHAnsi" w:hAnsiTheme="majorHAnsi" w:cstheme="majorHAnsi"/>
          <w:sz w:val="24"/>
          <w:szCs w:val="24"/>
        </w:rPr>
        <w:t>:</w:t>
      </w:r>
    </w:p>
    <w:p w14:paraId="00000228" w14:textId="299EEEFE" w:rsidR="00C62A9B" w:rsidRPr="000D1EF3" w:rsidRDefault="00D11CD4" w:rsidP="00E43440">
      <w:pPr>
        <w:pStyle w:val="Heading2"/>
      </w:pPr>
      <w:bookmarkStart w:id="26" w:name="_Toc78795672"/>
      <w:r w:rsidRPr="000D1EF3">
        <w:t>OS2.1 - Dezvoltarea și modernizarea infrastructurii oficiilor consulare pentru furnizarea de servicii eficiente și ușor de utilizat pentru solicitan</w:t>
      </w:r>
      <w:r w:rsidR="00812FFF" w:rsidRPr="000D1EF3">
        <w:t>ț</w:t>
      </w:r>
      <w:r w:rsidRPr="000D1EF3">
        <w:t>ii de viză</w:t>
      </w:r>
      <w:bookmarkEnd w:id="26"/>
    </w:p>
    <w:p w14:paraId="00000229" w14:textId="26F5DF0C"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Dezvoltarea permanentă 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 RO în domeniul emiterii de vize include și asigurarea unor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lucru adecvate pentru activitatea consulară, prin modernizarea și reamenajarea sediilor oficiilor consulare. Până în prezent, au fost reabilitate și/sau modernizate 44 de oficii/sec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consulare din cele peste 130 existente, majoritatea fondurilor au provenit din bugetul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dar și din fondurile europene nerambursabile precum Facilitatea Schengen, Fondul Frontierele Externe și Fondul Securitate Internă 2014-2020. </w:t>
      </w:r>
    </w:p>
    <w:p w14:paraId="0000022A" w14:textId="374FC29F" w:rsidR="00C62A9B" w:rsidRPr="000D1EF3" w:rsidRDefault="00D11CD4">
      <w:pPr>
        <w:tabs>
          <w:tab w:val="left" w:pos="8364"/>
        </w:tabs>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unele zone geografice care prezintă riscuri de securitate,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ilegală și poten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 terorist sunt situate oficii consulare ale RO (ca de ex. Addis Abeba, Bagdad, Bangkok, Cernău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Teheran) unde </w:t>
      </w:r>
      <w:r w:rsidRPr="000D1EF3">
        <w:rPr>
          <w:rFonts w:asciiTheme="majorHAnsi" w:hAnsiTheme="majorHAnsi" w:cstheme="majorHAnsi"/>
          <w:sz w:val="24"/>
          <w:szCs w:val="24"/>
        </w:rPr>
        <w:lastRenderedPageBreak/>
        <w:t>sunt necesare lucrări de reamenajare pentru asigurarea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de lucru și de siguran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conforme cu reglementările din domeniu. Astfel de oficii consulare nu au beneficiat în trecut de asemenea lucrări de reamenajare, nu dispun de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lucru în conformitate cu standardele, regulamentele și practicile uniforme UE în materie de emitere a vizelor și nu dispun de infrastructura necesară pentru asigurarea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optime a securită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clădirilor, a personalului consular și a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viză.</w:t>
      </w:r>
    </w:p>
    <w:p w14:paraId="0000022B" w14:textId="37FA6893"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prezent, RO este unul din</w:t>
      </w:r>
      <w:r w:rsidR="00CB0447" w:rsidRPr="000D1EF3">
        <w:rPr>
          <w:rFonts w:asciiTheme="majorHAnsi" w:hAnsiTheme="majorHAnsi" w:cstheme="majorHAnsi"/>
          <w:sz w:val="24"/>
          <w:szCs w:val="24"/>
        </w:rPr>
        <w:t>tre</w:t>
      </w:r>
      <w:r w:rsidRPr="000D1EF3">
        <w:rPr>
          <w:rFonts w:asciiTheme="majorHAnsi" w:hAnsiTheme="majorHAnsi" w:cstheme="majorHAnsi"/>
          <w:sz w:val="24"/>
          <w:szCs w:val="24"/>
        </w:rPr>
        <w:t xml:space="preserve"> statele membre cu o 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ea consulară în state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 extinsă (</w:t>
      </w:r>
      <w:hyperlink r:id="rId18">
        <w:r w:rsidRPr="000D1EF3">
          <w:rPr>
            <w:rFonts w:asciiTheme="majorHAnsi" w:hAnsiTheme="majorHAnsi" w:cstheme="majorHAnsi"/>
            <w:color w:val="1155CC"/>
            <w:sz w:val="24"/>
            <w:szCs w:val="24"/>
            <w:u w:val="single"/>
          </w:rPr>
          <w:t>96 de oficii consulare</w:t>
        </w:r>
      </w:hyperlink>
      <w:r w:rsidRPr="000D1EF3">
        <w:rPr>
          <w:rFonts w:asciiTheme="majorHAnsi" w:hAnsiTheme="majorHAnsi" w:cstheme="majorHAnsi"/>
          <w:sz w:val="24"/>
          <w:szCs w:val="24"/>
        </w:rPr>
        <w:t>). Impedimentul major pentru sprijinirea din FSI a fost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în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de raportul dintre numărul de vize pe termen scurt și totalul numărului de servicii consulare aferente oficiului consulare. </w:t>
      </w:r>
    </w:p>
    <w:p w14:paraId="0000022C" w14:textId="08D9D502"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 acest context, precum și a prevederilor Directivei (UE) 2015/637 privind măsurile de coordonare și cooperare pentru facilitarea protec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consulare a cetă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enilor nereprezenta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ai Uniunii în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 una dintre priorită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specifice ale RO este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din IMFV a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pentru dezvoltarea și modernizarea infrastructurii oficiilor consulare, prin aplicarea ratei standard de cofinan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(75%).</w:t>
      </w:r>
    </w:p>
    <w:p w14:paraId="0000022D" w14:textId="77777777" w:rsidR="00C62A9B" w:rsidRPr="000D1EF3" w:rsidRDefault="00D11CD4" w:rsidP="00E43440">
      <w:pPr>
        <w:pStyle w:val="Heading2"/>
      </w:pPr>
      <w:bookmarkStart w:id="27" w:name="_Toc78795673"/>
      <w:r w:rsidRPr="000D1EF3">
        <w:t>OS</w:t>
      </w:r>
      <w:r w:rsidRPr="000D1EF3">
        <w:rPr>
          <w:rFonts w:eastAsia="Arial"/>
        </w:rPr>
        <w:t xml:space="preserve">2.2 - Instituirea, dezvoltarea și optimizarea sistemelor TIC </w:t>
      </w:r>
      <w:r w:rsidRPr="000D1EF3">
        <w:t>în domeniul politicii comune a vizelor, inclusiv interoperabilitatea și infrastructura asociată acestora</w:t>
      </w:r>
      <w:bookmarkEnd w:id="27"/>
      <w:r w:rsidRPr="000D1EF3">
        <w:t xml:space="preserve"> </w:t>
      </w:r>
    </w:p>
    <w:p w14:paraId="0000022E" w14:textId="4880D379" w:rsidR="00C62A9B" w:rsidRPr="000D1EF3" w:rsidRDefault="00D11CD4">
      <w:pPr>
        <w:spacing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ionalizarea integrală a </w:t>
      </w:r>
      <w:r w:rsidRPr="000D1EF3">
        <w:rPr>
          <w:rFonts w:asciiTheme="majorHAnsi" w:hAnsiTheme="majorHAnsi" w:cstheme="majorHAnsi"/>
          <w:b/>
          <w:sz w:val="24"/>
          <w:szCs w:val="24"/>
        </w:rPr>
        <w:t xml:space="preserve">Sistemului </w:t>
      </w:r>
      <w:r w:rsidR="00E40F42" w:rsidRPr="000D1EF3">
        <w:rPr>
          <w:rFonts w:asciiTheme="majorHAnsi" w:hAnsiTheme="majorHAnsi" w:cstheme="majorHAnsi"/>
          <w:b/>
          <w:sz w:val="24"/>
          <w:szCs w:val="24"/>
        </w:rPr>
        <w:t>Na</w:t>
      </w:r>
      <w:r w:rsidR="00812FFF" w:rsidRPr="000D1EF3">
        <w:rPr>
          <w:rFonts w:asciiTheme="majorHAnsi" w:hAnsiTheme="majorHAnsi" w:cstheme="majorHAnsi"/>
          <w:b/>
          <w:sz w:val="24"/>
          <w:szCs w:val="24"/>
        </w:rPr>
        <w:t>ț</w:t>
      </w:r>
      <w:r w:rsidR="00E40F42" w:rsidRPr="000D1EF3">
        <w:rPr>
          <w:rFonts w:asciiTheme="majorHAnsi" w:hAnsiTheme="majorHAnsi" w:cstheme="majorHAnsi"/>
          <w:b/>
          <w:sz w:val="24"/>
          <w:szCs w:val="24"/>
        </w:rPr>
        <w:t>ional</w:t>
      </w:r>
      <w:r w:rsidRPr="000D1EF3">
        <w:rPr>
          <w:rFonts w:asciiTheme="majorHAnsi" w:hAnsiTheme="majorHAnsi" w:cstheme="majorHAnsi"/>
          <w:b/>
          <w:sz w:val="24"/>
          <w:szCs w:val="24"/>
        </w:rPr>
        <w:t xml:space="preserve"> de Informa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 privind Vizele (SNIV)</w:t>
      </w:r>
      <w:r w:rsidRPr="000D1EF3">
        <w:rPr>
          <w:rFonts w:asciiTheme="majorHAnsi" w:hAnsiTheme="majorHAnsi" w:cstheme="majorHAnsi"/>
          <w:sz w:val="24"/>
          <w:szCs w:val="24"/>
        </w:rPr>
        <w:t xml:space="preserve"> în toate oficiile consulare din străinătate a fost realizată acum 10 ani, în 2011. Prin acest sistem, RO dispune de toate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tehnice de a emite vize biometrice și de a efectua verificări și identificări de persoane, în baza datelor biometrice preluate, conform reglementărilor europene în domeniu. În același timp, a fost finalizată și implementarea infrastructurii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voce aferente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ionării SNIV, fiind instalate echipamente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de voce în toate misiunile diplomatice și oficiile consulare. </w:t>
      </w:r>
    </w:p>
    <w:p w14:paraId="0000022F" w14:textId="0C713919" w:rsidR="00C62A9B" w:rsidRPr="000D1EF3" w:rsidRDefault="00D11CD4">
      <w:pPr>
        <w:spacing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Pentru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în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optime a sistemului SNIV și a componentelor aferente, sunt necesare noi echipamente, componente și solu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software în vederea actualizării și </w:t>
      </w:r>
      <w:proofErr w:type="spellStart"/>
      <w:r w:rsidRPr="000D1EF3">
        <w:rPr>
          <w:rFonts w:asciiTheme="majorHAnsi" w:hAnsiTheme="majorHAnsi" w:cstheme="majorHAnsi"/>
          <w:sz w:val="24"/>
          <w:szCs w:val="24"/>
        </w:rPr>
        <w:t>up</w:t>
      </w:r>
      <w:proofErr w:type="spellEnd"/>
      <w:r w:rsidRPr="000D1EF3">
        <w:rPr>
          <w:rFonts w:asciiTheme="majorHAnsi" w:hAnsiTheme="majorHAnsi" w:cstheme="majorHAnsi"/>
          <w:sz w:val="24"/>
          <w:szCs w:val="24"/>
        </w:rPr>
        <w:t>-gradării celor existente la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 tehnologice reglementate din acest moment.</w:t>
      </w:r>
    </w:p>
    <w:p w14:paraId="00000230" w14:textId="04E038CD" w:rsidR="00C62A9B" w:rsidRPr="000D1EF3" w:rsidRDefault="00D11CD4">
      <w:pPr>
        <w:spacing w:after="0" w:line="240" w:lineRule="auto"/>
        <w:jc w:val="both"/>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Astfel pe măsură ce modificările legislative sau cerin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ele/dezvoltările ale sistemului central au intrat în vigoare, SNIV a fost modificat și completat corespunzător, astfel încât să răspundă tuturor cerin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elor de compatibilitate cu sistemul central VIS</w:t>
      </w:r>
      <w:r w:rsidR="00AC653C" w:rsidRPr="000D1EF3">
        <w:rPr>
          <w:rFonts w:asciiTheme="majorHAnsi" w:hAnsiTheme="majorHAnsi" w:cstheme="majorHAnsi"/>
          <w:sz w:val="24"/>
          <w:szCs w:val="24"/>
          <w:highlight w:val="white"/>
        </w:rPr>
        <w:t>,</w:t>
      </w:r>
      <w:r w:rsidRPr="000D1EF3">
        <w:rPr>
          <w:rFonts w:asciiTheme="majorHAnsi" w:hAnsiTheme="majorHAnsi" w:cstheme="majorHAnsi"/>
          <w:sz w:val="24"/>
          <w:szCs w:val="24"/>
          <w:highlight w:val="white"/>
        </w:rPr>
        <w:t xml:space="preserve"> precum și cu sistemele na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ionale ale statelor membre.</w:t>
      </w:r>
    </w:p>
    <w:p w14:paraId="00000231" w14:textId="043A4A55" w:rsidR="00C62A9B" w:rsidRPr="000D1EF3" w:rsidRDefault="006338B8">
      <w:pPr>
        <w:spacing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În </w:t>
      </w:r>
      <w:r w:rsidR="00D11CD4" w:rsidRPr="000D1EF3">
        <w:rPr>
          <w:rFonts w:asciiTheme="majorHAnsi" w:hAnsiTheme="majorHAnsi" w:cstheme="majorHAnsi"/>
          <w:sz w:val="24"/>
          <w:szCs w:val="24"/>
        </w:rPr>
        <w:t>contextul aderării la Spa</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iul Schengen, RO are în vedere dezvoltarea infrastructurii SNIV, inclusiv a interfe</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ei E-VIZA, în func</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ie de evolu</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iile înregistrate, precum și de eventualele modificări ale cerin</w:t>
      </w:r>
      <w:r w:rsidR="00812FFF" w:rsidRPr="000D1EF3">
        <w:rPr>
          <w:rFonts w:asciiTheme="majorHAnsi" w:hAnsiTheme="majorHAnsi" w:cstheme="majorHAnsi"/>
          <w:sz w:val="24"/>
          <w:szCs w:val="24"/>
        </w:rPr>
        <w:t>ț</w:t>
      </w:r>
      <w:r w:rsidR="00D11CD4" w:rsidRPr="000D1EF3">
        <w:rPr>
          <w:rFonts w:asciiTheme="majorHAnsi" w:hAnsiTheme="majorHAnsi" w:cstheme="majorHAnsi"/>
          <w:sz w:val="24"/>
          <w:szCs w:val="24"/>
        </w:rPr>
        <w:t>elor  legale sau tehnice.</w:t>
      </w:r>
    </w:p>
    <w:p w14:paraId="00000232" w14:textId="7C2847FB" w:rsidR="00C62A9B" w:rsidRPr="000D1EF3" w:rsidRDefault="00D11CD4">
      <w:pPr>
        <w:spacing w:before="120"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De asemenea, pentru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ilor necesare prelucrării cererilor de viză și pentru sprijinirea personalului consular, RO are ca prioritate dezvoltarea infrastructurii online pentru preluarea și procesarea eficientă a cererilor de viză, inclusiv în ceea ce privește depistarea documentelor false sau falsificate. </w:t>
      </w:r>
      <w:r w:rsidRPr="000D1EF3">
        <w:rPr>
          <w:rFonts w:asciiTheme="majorHAnsi" w:hAnsiTheme="majorHAnsi" w:cstheme="majorHAnsi"/>
          <w:sz w:val="24"/>
          <w:szCs w:val="24"/>
          <w:highlight w:val="white"/>
        </w:rPr>
        <w:t>Ministerul Afacerilor Externe administrează și asigură func</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ionalitatea sistemelor informatice, precum și adaptarea acestora la modificările legislative și procedurale cu inciden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ă asupra activită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consulare, precum și la evolu</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iile tehnologice cu impact asupra sistemelor respective.</w:t>
      </w:r>
    </w:p>
    <w:p w14:paraId="00000233" w14:textId="77777777" w:rsidR="00C62A9B" w:rsidRPr="000D1EF3" w:rsidRDefault="00C62A9B">
      <w:pPr>
        <w:spacing w:before="120" w:after="0" w:line="240" w:lineRule="auto"/>
        <w:jc w:val="both"/>
        <w:rPr>
          <w:rFonts w:asciiTheme="majorHAnsi" w:hAnsiTheme="majorHAnsi" w:cstheme="majorHAnsi"/>
          <w:sz w:val="24"/>
          <w:szCs w:val="24"/>
        </w:rPr>
      </w:pPr>
    </w:p>
    <w:p w14:paraId="00000234" w14:textId="77777777" w:rsidR="00C62A9B" w:rsidRPr="000D1EF3" w:rsidRDefault="00D11CD4" w:rsidP="00E43440">
      <w:pPr>
        <w:pStyle w:val="Heading2"/>
      </w:pPr>
      <w:bookmarkStart w:id="28" w:name="_Toc78795674"/>
      <w:r w:rsidRPr="000D1EF3">
        <w:lastRenderedPageBreak/>
        <w:t>OS3.3 - Dezvoltarea cooperării consulare și a programelor de formare a personalului care contribuie la politica comună în domeniul vizelor și la cooperarea consulară</w:t>
      </w:r>
      <w:bookmarkEnd w:id="28"/>
    </w:p>
    <w:p w14:paraId="00000235" w14:textId="069400FD"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Pentru stabilirea unor practici comune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iune, la nivelul statelor membre sunt necesare desfășurarea de </w:t>
      </w:r>
      <w:r w:rsidRPr="000D1EF3">
        <w:rPr>
          <w:rFonts w:asciiTheme="majorHAnsi" w:hAnsiTheme="majorHAnsi" w:cstheme="majorHAnsi"/>
          <w:b/>
          <w:sz w:val="24"/>
          <w:szCs w:val="24"/>
        </w:rPr>
        <w:t>reuniuni consulare regionale</w:t>
      </w:r>
      <w:r w:rsidRPr="000D1EF3">
        <w:rPr>
          <w:rFonts w:asciiTheme="majorHAnsi" w:hAnsiTheme="majorHAnsi" w:cstheme="majorHAnsi"/>
          <w:sz w:val="24"/>
          <w:szCs w:val="24"/>
        </w:rPr>
        <w:t>, la care să participe personalul consular al statelor membre din zona respectivă, precum și reprezentan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cu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specifice din statele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 din zonă.</w:t>
      </w:r>
    </w:p>
    <w:p w14:paraId="00000236" w14:textId="573C173B"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De asemenea, în vederea asigurării unor servicii de calitate pentru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vize, este necesar ca personalul cu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specifice din consulate să beneficieze de </w:t>
      </w:r>
      <w:r w:rsidRPr="000D1EF3">
        <w:rPr>
          <w:rFonts w:asciiTheme="majorHAnsi" w:hAnsiTheme="majorHAnsi" w:cstheme="majorHAnsi"/>
          <w:b/>
          <w:sz w:val="24"/>
          <w:szCs w:val="24"/>
        </w:rPr>
        <w:t>programe permanente de instruire</w:t>
      </w:r>
      <w:r w:rsidRPr="000D1EF3">
        <w:rPr>
          <w:rFonts w:asciiTheme="majorHAnsi" w:hAnsiTheme="majorHAnsi" w:cstheme="majorHAnsi"/>
          <w:sz w:val="24"/>
          <w:szCs w:val="24"/>
        </w:rPr>
        <w:t>. În anul 2019, România a ajuns să dispună de una dintre cele mai extinse 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 consulare din lume, ocupând primul loc între statele membre în ceea ce privește prezen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consulară și dinamica serviciilor consulare prestate.</w:t>
      </w:r>
    </w:p>
    <w:p w14:paraId="00000237" w14:textId="1AFD5B0A"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Astfel, RO are în vedere implementarea unei politici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privind formarea personalului consular și personalului altor entită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contribuie la politica comună în domeniul vizelor și la cooperarea consulară, fiind astfel în măsură a se perfec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 și a asigura un serviciu de calitate, conform legisla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în vigoare și a bunelor practici stabilite în cadrul statelor membre. </w:t>
      </w:r>
    </w:p>
    <w:p w14:paraId="00000238" w14:textId="2F2E8398" w:rsidR="00C62A9B" w:rsidRPr="000D1EF3" w:rsidRDefault="00D11CD4">
      <w:pPr>
        <w:spacing w:after="120" w:line="240" w:lineRule="auto"/>
        <w:jc w:val="both"/>
        <w:rPr>
          <w:rFonts w:asciiTheme="majorHAnsi" w:hAnsiTheme="majorHAnsi" w:cstheme="majorHAnsi"/>
          <w:sz w:val="24"/>
          <w:szCs w:val="24"/>
          <w:highlight w:val="yellow"/>
        </w:rPr>
      </w:pPr>
      <w:r w:rsidRPr="000D1EF3">
        <w:rPr>
          <w:rFonts w:asciiTheme="majorHAnsi" w:hAnsiTheme="majorHAnsi" w:cstheme="majorHAnsi"/>
          <w:sz w:val="24"/>
          <w:szCs w:val="24"/>
        </w:rPr>
        <w:t>Pentru cunoașterea la nivelul statelor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 a măsurilor, procedurilor și bunelor practici ce ghidează în procesul de prelucrare a cererilor de vize, RO are în vedere organizarea de reuniuni consulare regionale. </w:t>
      </w:r>
    </w:p>
    <w:p w14:paraId="00000239" w14:textId="77777777"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 </w:t>
      </w:r>
    </w:p>
    <w:p w14:paraId="0000023A" w14:textId="5B6DFF4F" w:rsidR="00C62A9B" w:rsidRPr="000D1EF3" w:rsidRDefault="00D11CD4" w:rsidP="00E43440">
      <w:pPr>
        <w:pStyle w:val="Heading2"/>
      </w:pPr>
      <w:bookmarkStart w:id="29" w:name="_Toc78795675"/>
      <w:r w:rsidRPr="000D1EF3">
        <w:t>OS2.4 - Sprijin opera</w:t>
      </w:r>
      <w:r w:rsidR="00812FFF" w:rsidRPr="000D1EF3">
        <w:t>ț</w:t>
      </w:r>
      <w:r w:rsidRPr="000D1EF3">
        <w:t>ional - vize</w:t>
      </w:r>
      <w:bookmarkEnd w:id="29"/>
    </w:p>
    <w:p w14:paraId="0000023B" w14:textId="76BB4295"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Conform prevederilor HG nr. 16/2017, MAE este organismul de specialitate al administra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publice centrale aflat în subordinea Guvernului, care realizează politica externă a statului român, inclusiv prin îndeplinirea sarcinilor din sfera sa de competen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care revin RO în calitate de stat membru al UE și al NATO.</w:t>
      </w:r>
    </w:p>
    <w:p w14:paraId="0000023C" w14:textId="6822D2EC" w:rsidR="00C62A9B" w:rsidRPr="000D1EF3" w:rsidRDefault="00D11CD4">
      <w:pPr>
        <w:spacing w:after="120" w:line="240" w:lineRule="auto"/>
        <w:jc w:val="both"/>
        <w:rPr>
          <w:rFonts w:asciiTheme="majorHAnsi" w:hAnsiTheme="majorHAnsi" w:cstheme="majorHAnsi"/>
          <w:color w:val="000000"/>
          <w:sz w:val="24"/>
          <w:szCs w:val="24"/>
        </w:rPr>
      </w:pPr>
      <w:r w:rsidRPr="000D1EF3">
        <w:rPr>
          <w:rFonts w:asciiTheme="majorHAnsi" w:hAnsiTheme="majorHAnsi" w:cstheme="majorHAnsi"/>
          <w:sz w:val="24"/>
          <w:szCs w:val="24"/>
        </w:rPr>
        <w:t>Având în vedere că obiectivul politicii UE în domeniul gestionării frontierelor externe este de a dezvolta și a pune în aplicare EIBM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și la nivelul UE, principalele </w:t>
      </w:r>
      <w:r w:rsidRPr="000D1EF3">
        <w:rPr>
          <w:rFonts w:asciiTheme="majorHAnsi" w:hAnsiTheme="majorHAnsi" w:cstheme="majorHAnsi"/>
          <w:b/>
          <w:sz w:val="24"/>
          <w:szCs w:val="24"/>
        </w:rPr>
        <w:t>sarcini ale MAE</w:t>
      </w:r>
      <w:r w:rsidRPr="000D1EF3">
        <w:rPr>
          <w:rFonts w:asciiTheme="majorHAnsi" w:hAnsiTheme="majorHAnsi" w:cstheme="majorHAnsi"/>
          <w:sz w:val="24"/>
          <w:szCs w:val="24"/>
        </w:rPr>
        <w:t xml:space="preserve"> care urmează să fie sprijinite prin IMFV se referă la:</w:t>
      </w:r>
    </w:p>
    <w:p w14:paraId="0000023D" w14:textId="4DCC6C8F" w:rsidR="00C62A9B" w:rsidRPr="000D1EF3" w:rsidRDefault="00D11CD4">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0D1EF3">
        <w:rPr>
          <w:rFonts w:asciiTheme="majorHAnsi" w:hAnsiTheme="majorHAnsi" w:cstheme="majorHAnsi"/>
          <w:color w:val="000000"/>
          <w:sz w:val="24"/>
          <w:szCs w:val="24"/>
        </w:rPr>
        <w:t>asigurarea compatibilită</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 xml:space="preserve">ii sistemul SNIV cu sistemul central VIS, </w:t>
      </w:r>
    </w:p>
    <w:p w14:paraId="0000023E" w14:textId="77777777" w:rsidR="00C62A9B" w:rsidRPr="000D1EF3" w:rsidRDefault="00D11CD4">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0D1EF3">
        <w:rPr>
          <w:rFonts w:asciiTheme="majorHAnsi" w:hAnsiTheme="majorHAnsi" w:cstheme="majorHAnsi"/>
          <w:color w:val="000000"/>
          <w:sz w:val="24"/>
          <w:szCs w:val="24"/>
        </w:rPr>
        <w:t>instruirea personalului consular în domeniul vizelor,</w:t>
      </w:r>
    </w:p>
    <w:p w14:paraId="0000023F" w14:textId="254E2C90" w:rsidR="00C62A9B" w:rsidRPr="000D1EF3" w:rsidRDefault="00D11CD4">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0D1EF3">
        <w:rPr>
          <w:rFonts w:asciiTheme="majorHAnsi" w:hAnsiTheme="majorHAnsi" w:cstheme="majorHAnsi"/>
          <w:color w:val="000000"/>
          <w:sz w:val="24"/>
          <w:szCs w:val="24"/>
        </w:rPr>
        <w:t>continuarea lucrărilor de reamenajare și modernizare a oficiilor consulare ale RO, care să permită desfășurarea unor activită</w:t>
      </w:r>
      <w:r w:rsidR="00812FFF" w:rsidRPr="000D1EF3">
        <w:rPr>
          <w:rFonts w:asciiTheme="majorHAnsi" w:hAnsiTheme="majorHAnsi" w:cstheme="majorHAnsi"/>
          <w:color w:val="000000"/>
          <w:sz w:val="24"/>
          <w:szCs w:val="24"/>
        </w:rPr>
        <w:t>ț</w:t>
      </w:r>
      <w:r w:rsidRPr="000D1EF3">
        <w:rPr>
          <w:rFonts w:asciiTheme="majorHAnsi" w:hAnsiTheme="majorHAnsi" w:cstheme="majorHAnsi"/>
          <w:color w:val="000000"/>
          <w:sz w:val="24"/>
          <w:szCs w:val="24"/>
        </w:rPr>
        <w:t>i de emitere a vizelor în conformitate cu standardele, regulamentele şi practicile uniforme UE,</w:t>
      </w:r>
    </w:p>
    <w:p w14:paraId="00000240" w14:textId="77777777" w:rsidR="00C62A9B" w:rsidRPr="000D1EF3" w:rsidRDefault="00C62A9B">
      <w:pPr>
        <w:pBdr>
          <w:top w:val="nil"/>
          <w:left w:val="nil"/>
          <w:bottom w:val="nil"/>
          <w:right w:val="nil"/>
          <w:between w:val="nil"/>
        </w:pBdr>
        <w:spacing w:after="120" w:line="240" w:lineRule="auto"/>
        <w:ind w:left="720"/>
        <w:jc w:val="both"/>
        <w:rPr>
          <w:rFonts w:asciiTheme="majorHAnsi" w:hAnsiTheme="majorHAnsi" w:cstheme="majorHAnsi"/>
          <w:color w:val="000000"/>
          <w:sz w:val="24"/>
          <w:szCs w:val="24"/>
        </w:rPr>
      </w:pPr>
    </w:p>
    <w:p w14:paraId="00000241" w14:textId="4A48FFC8"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Având în vedere că sistemul C-VIS se dezvoltă și se modernizează permanent conform necesită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statelor membre, se impune alinierea permanentă a  sistemului la evolu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C-VIS.</w:t>
      </w:r>
    </w:p>
    <w:p w14:paraId="00000242" w14:textId="560BCE8B"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Încă de la momentul implementării, SNIV a fost permanent 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 pentru 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 corespunzător și a veni în întâmpinarea nevoilor pentru care a fost creat. </w:t>
      </w:r>
      <w:r w:rsidR="00D7439E" w:rsidRPr="000D1EF3">
        <w:rPr>
          <w:rFonts w:asciiTheme="majorHAnsi" w:hAnsiTheme="majorHAnsi" w:cstheme="majorHAnsi"/>
          <w:sz w:val="24"/>
          <w:szCs w:val="24"/>
        </w:rPr>
        <w:t xml:space="preserve">Au </w:t>
      </w:r>
      <w:r w:rsidRPr="000D1EF3">
        <w:rPr>
          <w:rFonts w:asciiTheme="majorHAnsi" w:hAnsiTheme="majorHAnsi" w:cstheme="majorHAnsi"/>
          <w:sz w:val="24"/>
          <w:szCs w:val="24"/>
        </w:rPr>
        <w:t>fost luate măsuri de mentenan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evolutivă asupra sistemului, atunci când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a impus acest mod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Astfel, pe măsură ce modificări legislative sau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e/dezvoltări ale sistemului central au intrat în vigoare, SNIV a fost modificat, completat și adăugit corespunzător, astfel încât să răspundă tuturor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de compatibilitate cu sistemul central VIS, precum și cu sistemele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ale statelor membre. Păstrând aceeași logică, RO își propune să asigure prin intermediul alocărilor PN IMFV mentenan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preventivă, corectivă și evolutivă a sistemului, astfel încât acesta să răspundă tuturor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viitoare de compatibilitate și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w:t>
      </w:r>
    </w:p>
    <w:p w14:paraId="00000243" w14:textId="182621AE"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lastRenderedPageBreak/>
        <w:t>Printre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necesare exercitării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ce revin MAE se află dezvoltarea permanentă 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în domeniul emiterii de vize, inclusiv prin asigurarea unor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lucru adecvate, prin implementarea unor proiecte de renovare și reabilitare a sediilor oficiilor consulare.</w:t>
      </w:r>
    </w:p>
    <w:p w14:paraId="00000244" w14:textId="0761487A"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b/>
          <w:sz w:val="24"/>
          <w:szCs w:val="24"/>
        </w:rPr>
        <w:t>Ac</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iunile propuse</w:t>
      </w:r>
      <w:r w:rsidRPr="000D1EF3">
        <w:rPr>
          <w:rFonts w:asciiTheme="majorHAnsi" w:hAnsiTheme="majorHAnsi" w:cstheme="majorHAnsi"/>
          <w:sz w:val="24"/>
          <w:szCs w:val="24"/>
        </w:rPr>
        <w:t xml:space="preserve"> de către RO pentru sprijin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se încadrează în Anexa VII a Regulamentului IMFV, astfel:</w:t>
      </w:r>
    </w:p>
    <w:p w14:paraId="00000245" w14:textId="6388C2AB" w:rsidR="00C62A9B" w:rsidRPr="000D1EF3" w:rsidRDefault="00D11CD4">
      <w:pPr>
        <w:spacing w:after="120" w:line="240" w:lineRule="auto"/>
        <w:jc w:val="both"/>
        <w:rPr>
          <w:rFonts w:asciiTheme="majorHAnsi" w:hAnsiTheme="majorHAnsi" w:cstheme="majorHAnsi"/>
          <w:sz w:val="24"/>
          <w:szCs w:val="24"/>
        </w:rPr>
      </w:pPr>
      <w:r w:rsidRPr="000D1EF3">
        <w:rPr>
          <w:rFonts w:asciiTheme="majorHAnsi" w:hAnsiTheme="majorHAnsi" w:cstheme="majorHAnsi"/>
          <w:sz w:val="24"/>
          <w:szCs w:val="24"/>
        </w:rPr>
        <w:t xml:space="preserve">-     </w:t>
      </w:r>
      <w:r w:rsidRPr="000D1EF3">
        <w:rPr>
          <w:rFonts w:asciiTheme="majorHAnsi" w:hAnsiTheme="majorHAnsi" w:cstheme="majorHAnsi"/>
          <w:sz w:val="24"/>
          <w:szCs w:val="24"/>
        </w:rPr>
        <w:tab/>
        <w:t>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inerea sau repararea echipamentelor și a infrastructurii, inclusiv a clădirilor și a drumurilor de acces;</w:t>
      </w:r>
    </w:p>
    <w:p w14:paraId="00000246" w14:textId="7B633648" w:rsidR="00C62A9B" w:rsidRPr="000D1EF3" w:rsidRDefault="00D11CD4">
      <w:pPr>
        <w:spacing w:after="120" w:line="240" w:lineRule="auto"/>
        <w:jc w:val="both"/>
        <w:rPr>
          <w:rFonts w:asciiTheme="majorHAnsi" w:hAnsiTheme="majorHAnsi" w:cstheme="majorHAnsi"/>
          <w:b/>
          <w:sz w:val="24"/>
          <w:szCs w:val="24"/>
        </w:rPr>
      </w:pPr>
      <w:r w:rsidRPr="000D1EF3">
        <w:rPr>
          <w:rFonts w:asciiTheme="majorHAnsi" w:hAnsiTheme="majorHAnsi" w:cstheme="majorHAnsi"/>
          <w:sz w:val="24"/>
          <w:szCs w:val="24"/>
        </w:rPr>
        <w:t xml:space="preserve">-     </w:t>
      </w:r>
      <w:r w:rsidRPr="000D1EF3">
        <w:rPr>
          <w:rFonts w:asciiTheme="majorHAnsi" w:hAnsiTheme="majorHAnsi" w:cstheme="majorHAnsi"/>
          <w:sz w:val="24"/>
          <w:szCs w:val="24"/>
        </w:rPr>
        <w:tab/>
        <w:t>gestionarea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și 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inerea sistemelor de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la scară largă și a infrastructurilor lor de comunica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inclusiv interoperabilitatea acestor sisteme și închirierea de incinte securizate.</w:t>
      </w:r>
    </w:p>
    <w:p w14:paraId="00000247" w14:textId="77777777" w:rsidR="00C62A9B" w:rsidRPr="000D1EF3" w:rsidRDefault="00C62A9B">
      <w:pPr>
        <w:spacing w:after="120" w:line="240" w:lineRule="auto"/>
        <w:rPr>
          <w:rFonts w:asciiTheme="majorHAnsi" w:hAnsiTheme="majorHAnsi" w:cstheme="majorHAnsi"/>
          <w:b/>
          <w:sz w:val="24"/>
          <w:szCs w:val="24"/>
        </w:rPr>
      </w:pPr>
    </w:p>
    <w:p w14:paraId="00000248" w14:textId="77777777" w:rsidR="00C62A9B" w:rsidRPr="000D1EF3" w:rsidRDefault="00C62A9B">
      <w:pPr>
        <w:spacing w:after="120" w:line="240" w:lineRule="auto"/>
        <w:rPr>
          <w:rFonts w:asciiTheme="majorHAnsi" w:hAnsiTheme="majorHAnsi" w:cstheme="majorHAnsi"/>
          <w:b/>
          <w:sz w:val="24"/>
          <w:szCs w:val="24"/>
        </w:rPr>
        <w:sectPr w:rsidR="00C62A9B" w:rsidRPr="000D1EF3" w:rsidSect="00812FFF">
          <w:type w:val="continuous"/>
          <w:pgSz w:w="11907" w:h="16840" w:code="9"/>
          <w:pgMar w:top="567" w:right="1134" w:bottom="567" w:left="1134" w:header="567" w:footer="567" w:gutter="0"/>
          <w:cols w:space="720"/>
        </w:sectPr>
      </w:pPr>
    </w:p>
    <w:p w14:paraId="00000249" w14:textId="77777777" w:rsidR="00C62A9B" w:rsidRPr="000D1EF3" w:rsidRDefault="00D11CD4" w:rsidP="00E43440">
      <w:pPr>
        <w:pStyle w:val="Heading2"/>
      </w:pPr>
      <w:bookmarkStart w:id="30" w:name="_Toc78795676"/>
      <w:r w:rsidRPr="000D1EF3">
        <w:lastRenderedPageBreak/>
        <w:t>2.1.2. Indicatori</w:t>
      </w:r>
      <w:bookmarkEnd w:id="30"/>
    </w:p>
    <w:p w14:paraId="0000024A"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(4) litera (e) din RDC</w:t>
      </w: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000" w:firstRow="0" w:lastRow="0" w:firstColumn="0" w:lastColumn="0" w:noHBand="0" w:noVBand="0"/>
      </w:tblPr>
      <w:tblGrid>
        <w:gridCol w:w="795"/>
        <w:gridCol w:w="878"/>
        <w:gridCol w:w="8503"/>
        <w:gridCol w:w="2039"/>
        <w:gridCol w:w="1409"/>
        <w:gridCol w:w="2072"/>
      </w:tblGrid>
      <w:tr w:rsidR="00C62A9B" w:rsidRPr="000D1EF3" w14:paraId="1E0A8C7E" w14:textId="77777777" w:rsidTr="00E43440">
        <w:tc>
          <w:tcPr>
            <w:tcW w:w="14205" w:type="dxa"/>
            <w:gridSpan w:val="6"/>
            <w:vAlign w:val="center"/>
          </w:tcPr>
          <w:p w14:paraId="0000024B" w14:textId="77777777" w:rsidR="00C62A9B" w:rsidRPr="000D1EF3" w:rsidRDefault="00D11CD4" w:rsidP="000D1EF3">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Tabelul 1: Indicatori de realizare</w:t>
            </w:r>
          </w:p>
        </w:tc>
      </w:tr>
      <w:tr w:rsidR="00C62A9B" w:rsidRPr="000D1EF3" w14:paraId="15BC6FFA" w14:textId="77777777" w:rsidTr="00E43440">
        <w:tc>
          <w:tcPr>
            <w:tcW w:w="720" w:type="dxa"/>
            <w:shd w:val="clear" w:color="auto" w:fill="C9DAF8"/>
            <w:vAlign w:val="center"/>
          </w:tcPr>
          <w:p w14:paraId="00000251" w14:textId="77777777" w:rsidR="00C62A9B" w:rsidRPr="000D1EF3" w:rsidRDefault="00D11CD4"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Obiectiv specific</w:t>
            </w:r>
          </w:p>
        </w:tc>
        <w:tc>
          <w:tcPr>
            <w:tcW w:w="795" w:type="dxa"/>
            <w:shd w:val="clear" w:color="auto" w:fill="C9DAF8"/>
            <w:vAlign w:val="center"/>
          </w:tcPr>
          <w:p w14:paraId="00000252" w14:textId="77777777" w:rsidR="00C62A9B" w:rsidRPr="000D1EF3" w:rsidRDefault="00D11CD4"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ID [5]</w:t>
            </w:r>
          </w:p>
        </w:tc>
        <w:tc>
          <w:tcPr>
            <w:tcW w:w="7695" w:type="dxa"/>
            <w:shd w:val="clear" w:color="auto" w:fill="C9DAF8"/>
            <w:vAlign w:val="center"/>
          </w:tcPr>
          <w:p w14:paraId="00000253" w14:textId="77777777" w:rsidR="00C62A9B" w:rsidRPr="000D1EF3" w:rsidRDefault="00D11CD4"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 xml:space="preserve">Indicator [255] </w:t>
            </w:r>
          </w:p>
        </w:tc>
        <w:tc>
          <w:tcPr>
            <w:tcW w:w="1845" w:type="dxa"/>
            <w:shd w:val="clear" w:color="auto" w:fill="C9DAF8"/>
            <w:vAlign w:val="center"/>
          </w:tcPr>
          <w:p w14:paraId="00000254" w14:textId="77777777" w:rsidR="00C62A9B" w:rsidRPr="000D1EF3" w:rsidRDefault="00D11CD4"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Unitate de măsură</w:t>
            </w:r>
          </w:p>
        </w:tc>
        <w:tc>
          <w:tcPr>
            <w:tcW w:w="1275" w:type="dxa"/>
            <w:shd w:val="clear" w:color="auto" w:fill="C9DAF8"/>
            <w:vAlign w:val="center"/>
          </w:tcPr>
          <w:p w14:paraId="00000255" w14:textId="77777777" w:rsidR="00C62A9B" w:rsidRPr="000D1EF3" w:rsidRDefault="00D11CD4"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Obiectiv de etapă (2024)</w:t>
            </w:r>
          </w:p>
        </w:tc>
        <w:tc>
          <w:tcPr>
            <w:tcW w:w="1875" w:type="dxa"/>
            <w:shd w:val="clear" w:color="auto" w:fill="C9DAF8"/>
            <w:vAlign w:val="center"/>
          </w:tcPr>
          <w:p w14:paraId="00000256" w14:textId="6475C37B" w:rsidR="00C62A9B" w:rsidRPr="000D1EF3" w:rsidRDefault="00812FFF" w:rsidP="000D1EF3">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Ț</w:t>
            </w:r>
            <w:r w:rsidR="00D11CD4" w:rsidRPr="000D1EF3">
              <w:rPr>
                <w:rFonts w:asciiTheme="majorHAnsi" w:hAnsiTheme="majorHAnsi" w:cstheme="majorHAnsi"/>
                <w:b/>
                <w:sz w:val="18"/>
                <w:szCs w:val="18"/>
              </w:rPr>
              <w:t>intă (2029)</w:t>
            </w:r>
          </w:p>
        </w:tc>
      </w:tr>
      <w:tr w:rsidR="00C62A9B" w:rsidRPr="000D1EF3" w14:paraId="7920981E" w14:textId="77777777" w:rsidTr="00E43440">
        <w:tc>
          <w:tcPr>
            <w:tcW w:w="720" w:type="dxa"/>
            <w:vMerge w:val="restart"/>
            <w:vAlign w:val="center"/>
          </w:tcPr>
          <w:p w14:paraId="00000257"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2</w:t>
            </w:r>
          </w:p>
        </w:tc>
        <w:tc>
          <w:tcPr>
            <w:tcW w:w="795" w:type="dxa"/>
            <w:vAlign w:val="center"/>
          </w:tcPr>
          <w:p w14:paraId="00000258"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1</w:t>
            </w:r>
          </w:p>
        </w:tc>
        <w:tc>
          <w:tcPr>
            <w:tcW w:w="7695" w:type="dxa"/>
            <w:shd w:val="clear" w:color="auto" w:fill="auto"/>
            <w:vAlign w:val="center"/>
          </w:tcPr>
          <w:p w14:paraId="00000259"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proiecte care sprijină digitalizarea prelucrării cererilor de viză</w:t>
            </w:r>
          </w:p>
        </w:tc>
        <w:tc>
          <w:tcPr>
            <w:tcW w:w="1845" w:type="dxa"/>
            <w:vAlign w:val="center"/>
          </w:tcPr>
          <w:p w14:paraId="0000025A"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5B"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875" w:type="dxa"/>
            <w:shd w:val="clear" w:color="auto" w:fill="auto"/>
            <w:vAlign w:val="center"/>
          </w:tcPr>
          <w:p w14:paraId="0000025C"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r>
      <w:tr w:rsidR="00C62A9B" w:rsidRPr="000D1EF3" w14:paraId="7278AFFB" w14:textId="77777777" w:rsidTr="00E43440">
        <w:tc>
          <w:tcPr>
            <w:tcW w:w="720" w:type="dxa"/>
            <w:vMerge/>
            <w:vAlign w:val="center"/>
          </w:tcPr>
          <w:p w14:paraId="0000025D"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5E"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2</w:t>
            </w:r>
          </w:p>
        </w:tc>
        <w:tc>
          <w:tcPr>
            <w:tcW w:w="7695" w:type="dxa"/>
            <w:shd w:val="clear" w:color="auto" w:fill="auto"/>
            <w:vAlign w:val="center"/>
          </w:tcPr>
          <w:p w14:paraId="0000025F" w14:textId="6A6434C9"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au beneficiat de sprijin</w:t>
            </w:r>
          </w:p>
        </w:tc>
        <w:tc>
          <w:tcPr>
            <w:tcW w:w="1845" w:type="dxa"/>
            <w:vAlign w:val="center"/>
          </w:tcPr>
          <w:p w14:paraId="00000260"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61"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1875" w:type="dxa"/>
            <w:shd w:val="clear" w:color="auto" w:fill="auto"/>
            <w:vAlign w:val="center"/>
          </w:tcPr>
          <w:p w14:paraId="00000262"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300</w:t>
            </w:r>
          </w:p>
        </w:tc>
      </w:tr>
      <w:tr w:rsidR="00C62A9B" w:rsidRPr="000D1EF3" w14:paraId="1B041E68" w14:textId="77777777" w:rsidTr="00E43440">
        <w:tc>
          <w:tcPr>
            <w:tcW w:w="720" w:type="dxa"/>
            <w:vMerge/>
            <w:vAlign w:val="center"/>
          </w:tcPr>
          <w:p w14:paraId="00000263"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64"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2.1</w:t>
            </w:r>
          </w:p>
        </w:tc>
        <w:tc>
          <w:tcPr>
            <w:tcW w:w="7695" w:type="dxa"/>
            <w:shd w:val="clear" w:color="auto" w:fill="auto"/>
            <w:vAlign w:val="center"/>
          </w:tcPr>
          <w:p w14:paraId="00000265" w14:textId="081C1A30"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la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formare</w:t>
            </w:r>
          </w:p>
        </w:tc>
        <w:tc>
          <w:tcPr>
            <w:tcW w:w="1845" w:type="dxa"/>
            <w:vAlign w:val="center"/>
          </w:tcPr>
          <w:p w14:paraId="00000266"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67"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50</w:t>
            </w:r>
          </w:p>
        </w:tc>
        <w:tc>
          <w:tcPr>
            <w:tcW w:w="1875" w:type="dxa"/>
            <w:shd w:val="clear" w:color="auto" w:fill="auto"/>
            <w:vAlign w:val="center"/>
          </w:tcPr>
          <w:p w14:paraId="00000268"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150</w:t>
            </w:r>
          </w:p>
        </w:tc>
      </w:tr>
      <w:tr w:rsidR="00C62A9B" w:rsidRPr="000D1EF3" w14:paraId="080F36C1" w14:textId="77777777" w:rsidTr="00E43440">
        <w:tc>
          <w:tcPr>
            <w:tcW w:w="720" w:type="dxa"/>
            <w:vMerge/>
            <w:vAlign w:val="center"/>
          </w:tcPr>
          <w:p w14:paraId="00000269"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6A"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3</w:t>
            </w:r>
          </w:p>
        </w:tc>
        <w:tc>
          <w:tcPr>
            <w:tcW w:w="7695" w:type="dxa"/>
            <w:shd w:val="clear" w:color="auto" w:fill="auto"/>
            <w:vAlign w:val="center"/>
          </w:tcPr>
          <w:p w14:paraId="0000026B" w14:textId="61A048B2"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 xml:space="preserve">Numărul de membri ai personalului trimiși în consulate în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 ter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w:t>
            </w:r>
          </w:p>
        </w:tc>
        <w:tc>
          <w:tcPr>
            <w:tcW w:w="1845" w:type="dxa"/>
            <w:vAlign w:val="center"/>
          </w:tcPr>
          <w:p w14:paraId="0000026C"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6D"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60</w:t>
            </w:r>
          </w:p>
        </w:tc>
        <w:tc>
          <w:tcPr>
            <w:tcW w:w="1875" w:type="dxa"/>
            <w:shd w:val="clear" w:color="auto" w:fill="auto"/>
            <w:vAlign w:val="center"/>
          </w:tcPr>
          <w:p w14:paraId="0000026E"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300</w:t>
            </w:r>
          </w:p>
        </w:tc>
      </w:tr>
      <w:tr w:rsidR="00C62A9B" w:rsidRPr="000D1EF3" w14:paraId="4AB43BB7" w14:textId="77777777" w:rsidTr="00E43440">
        <w:tc>
          <w:tcPr>
            <w:tcW w:w="720" w:type="dxa"/>
            <w:vMerge/>
            <w:vAlign w:val="center"/>
          </w:tcPr>
          <w:p w14:paraId="0000026F"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70"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3.1</w:t>
            </w:r>
          </w:p>
        </w:tc>
        <w:tc>
          <w:tcPr>
            <w:tcW w:w="7695" w:type="dxa"/>
            <w:shd w:val="clear" w:color="auto" w:fill="auto"/>
            <w:vAlign w:val="center"/>
          </w:tcPr>
          <w:p w14:paraId="00000271"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membri ai personalului trimiși pentru prelucrarea cererilor de viză</w:t>
            </w:r>
          </w:p>
        </w:tc>
        <w:tc>
          <w:tcPr>
            <w:tcW w:w="1845" w:type="dxa"/>
            <w:vAlign w:val="center"/>
          </w:tcPr>
          <w:p w14:paraId="00000272"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73"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50</w:t>
            </w:r>
          </w:p>
        </w:tc>
        <w:tc>
          <w:tcPr>
            <w:tcW w:w="1875" w:type="dxa"/>
            <w:shd w:val="clear" w:color="auto" w:fill="auto"/>
            <w:vAlign w:val="center"/>
          </w:tcPr>
          <w:p w14:paraId="00000274"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150</w:t>
            </w:r>
          </w:p>
        </w:tc>
      </w:tr>
      <w:tr w:rsidR="00C62A9B" w:rsidRPr="000D1EF3" w14:paraId="7F63BEC2" w14:textId="77777777" w:rsidTr="00E43440">
        <w:tc>
          <w:tcPr>
            <w:tcW w:w="720" w:type="dxa"/>
            <w:vMerge/>
            <w:vAlign w:val="center"/>
          </w:tcPr>
          <w:p w14:paraId="00000275"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76"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4</w:t>
            </w:r>
          </w:p>
        </w:tc>
        <w:tc>
          <w:tcPr>
            <w:tcW w:w="7695" w:type="dxa"/>
            <w:shd w:val="clear" w:color="auto" w:fill="auto"/>
            <w:vAlign w:val="center"/>
          </w:tcPr>
          <w:p w14:paraId="00000277" w14:textId="7E542418"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informatice dezvoltate/între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inute/modernizate</w:t>
            </w:r>
          </w:p>
        </w:tc>
        <w:tc>
          <w:tcPr>
            <w:tcW w:w="1845" w:type="dxa"/>
            <w:vAlign w:val="center"/>
          </w:tcPr>
          <w:p w14:paraId="00000278"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79"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2</w:t>
            </w:r>
          </w:p>
        </w:tc>
        <w:tc>
          <w:tcPr>
            <w:tcW w:w="1875" w:type="dxa"/>
            <w:shd w:val="clear" w:color="auto" w:fill="auto"/>
            <w:vAlign w:val="center"/>
          </w:tcPr>
          <w:p w14:paraId="0000027A"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8</w:t>
            </w:r>
          </w:p>
        </w:tc>
      </w:tr>
      <w:tr w:rsidR="00C62A9B" w:rsidRPr="000D1EF3" w14:paraId="309A0C2B" w14:textId="77777777" w:rsidTr="00E43440">
        <w:tc>
          <w:tcPr>
            <w:tcW w:w="720" w:type="dxa"/>
            <w:vMerge/>
            <w:vAlign w:val="center"/>
          </w:tcPr>
          <w:p w14:paraId="0000027B"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7C"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5</w:t>
            </w:r>
          </w:p>
        </w:tc>
        <w:tc>
          <w:tcPr>
            <w:tcW w:w="7695" w:type="dxa"/>
            <w:shd w:val="clear" w:color="auto" w:fill="auto"/>
            <w:vAlign w:val="center"/>
          </w:tcPr>
          <w:p w14:paraId="0000027D" w14:textId="113ACDC2"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sisteme informatice la scară largă dezvoltate/între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inute/modernizate</w:t>
            </w:r>
          </w:p>
        </w:tc>
        <w:tc>
          <w:tcPr>
            <w:tcW w:w="1845" w:type="dxa"/>
            <w:vAlign w:val="center"/>
          </w:tcPr>
          <w:p w14:paraId="0000027E"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7F"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875" w:type="dxa"/>
            <w:shd w:val="clear" w:color="auto" w:fill="auto"/>
            <w:vAlign w:val="center"/>
          </w:tcPr>
          <w:p w14:paraId="00000280"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r>
      <w:tr w:rsidR="00C62A9B" w:rsidRPr="000D1EF3" w14:paraId="20D1927C" w14:textId="77777777" w:rsidTr="00E43440">
        <w:tc>
          <w:tcPr>
            <w:tcW w:w="720" w:type="dxa"/>
            <w:vMerge/>
            <w:vAlign w:val="center"/>
          </w:tcPr>
          <w:p w14:paraId="00000281"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82"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5.1</w:t>
            </w:r>
          </w:p>
        </w:tc>
        <w:tc>
          <w:tcPr>
            <w:tcW w:w="7695" w:type="dxa"/>
            <w:shd w:val="clear" w:color="auto" w:fill="auto"/>
            <w:vAlign w:val="center"/>
          </w:tcPr>
          <w:p w14:paraId="00000283"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din care, numărul de sisteme informatice la scară largă dezvoltate</w:t>
            </w:r>
          </w:p>
        </w:tc>
        <w:tc>
          <w:tcPr>
            <w:tcW w:w="1845" w:type="dxa"/>
            <w:vAlign w:val="center"/>
          </w:tcPr>
          <w:p w14:paraId="00000284"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85"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1875" w:type="dxa"/>
            <w:shd w:val="clear" w:color="auto" w:fill="auto"/>
            <w:vAlign w:val="center"/>
          </w:tcPr>
          <w:p w14:paraId="00000286"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r>
      <w:tr w:rsidR="00C62A9B" w:rsidRPr="000D1EF3" w14:paraId="22ED4FC1" w14:textId="77777777" w:rsidTr="00E43440">
        <w:tc>
          <w:tcPr>
            <w:tcW w:w="720" w:type="dxa"/>
            <w:vMerge/>
            <w:vAlign w:val="center"/>
          </w:tcPr>
          <w:p w14:paraId="00000287"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88"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6</w:t>
            </w:r>
          </w:p>
        </w:tc>
        <w:tc>
          <w:tcPr>
            <w:tcW w:w="7695" w:type="dxa"/>
            <w:shd w:val="clear" w:color="auto" w:fill="auto"/>
            <w:vAlign w:val="center"/>
          </w:tcPr>
          <w:p w14:paraId="00000289" w14:textId="11285C6B" w:rsidR="00C62A9B" w:rsidRPr="000D1EF3" w:rsidRDefault="00D11CD4" w:rsidP="000D1EF3">
            <w:pPr>
              <w:tabs>
                <w:tab w:val="left" w:pos="1080"/>
              </w:tabs>
              <w:rPr>
                <w:rFonts w:asciiTheme="majorHAnsi" w:hAnsiTheme="majorHAnsi" w:cstheme="majorHAnsi"/>
                <w:sz w:val="24"/>
                <w:szCs w:val="24"/>
              </w:rPr>
            </w:pPr>
            <w:r w:rsidRPr="000D1EF3">
              <w:rPr>
                <w:rFonts w:asciiTheme="majorHAnsi" w:hAnsiTheme="majorHAnsi" w:cstheme="majorHAnsi"/>
                <w:sz w:val="24"/>
                <w:szCs w:val="24"/>
              </w:rPr>
              <w:t>Numărul de elemente de infrastructură între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inute/reparate</w:t>
            </w:r>
          </w:p>
        </w:tc>
        <w:tc>
          <w:tcPr>
            <w:tcW w:w="1845" w:type="dxa"/>
            <w:vAlign w:val="center"/>
          </w:tcPr>
          <w:p w14:paraId="0000028A"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8B"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875" w:type="dxa"/>
            <w:shd w:val="clear" w:color="auto" w:fill="auto"/>
            <w:vAlign w:val="center"/>
          </w:tcPr>
          <w:p w14:paraId="0000028C"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3</w:t>
            </w:r>
          </w:p>
        </w:tc>
      </w:tr>
      <w:tr w:rsidR="00C62A9B" w:rsidRPr="000D1EF3" w14:paraId="05195524" w14:textId="77777777" w:rsidTr="00E43440">
        <w:tc>
          <w:tcPr>
            <w:tcW w:w="720" w:type="dxa"/>
            <w:vMerge/>
            <w:vAlign w:val="center"/>
          </w:tcPr>
          <w:p w14:paraId="0000028D" w14:textId="77777777" w:rsidR="00C62A9B" w:rsidRPr="000D1EF3" w:rsidRDefault="00C62A9B" w:rsidP="000D1EF3">
            <w:pPr>
              <w:widowControl w:val="0"/>
              <w:pBdr>
                <w:top w:val="nil"/>
                <w:left w:val="nil"/>
                <w:bottom w:val="nil"/>
                <w:right w:val="nil"/>
                <w:between w:val="nil"/>
              </w:pBdr>
              <w:rPr>
                <w:rFonts w:asciiTheme="majorHAnsi" w:hAnsiTheme="majorHAnsi" w:cstheme="majorHAnsi"/>
                <w:b/>
                <w:sz w:val="24"/>
                <w:szCs w:val="24"/>
              </w:rPr>
            </w:pPr>
          </w:p>
        </w:tc>
        <w:tc>
          <w:tcPr>
            <w:tcW w:w="795" w:type="dxa"/>
            <w:vAlign w:val="center"/>
          </w:tcPr>
          <w:p w14:paraId="0000028E" w14:textId="77777777" w:rsidR="00C62A9B" w:rsidRPr="000D1EF3" w:rsidRDefault="00D11CD4" w:rsidP="00E43440">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7</w:t>
            </w:r>
          </w:p>
        </w:tc>
        <w:tc>
          <w:tcPr>
            <w:tcW w:w="7695" w:type="dxa"/>
            <w:shd w:val="clear" w:color="auto" w:fill="auto"/>
            <w:vAlign w:val="center"/>
          </w:tcPr>
          <w:p w14:paraId="0000028F"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Numărul de bunuri imobile închiriate/amortizate</w:t>
            </w:r>
          </w:p>
        </w:tc>
        <w:tc>
          <w:tcPr>
            <w:tcW w:w="1845" w:type="dxa"/>
            <w:vAlign w:val="center"/>
          </w:tcPr>
          <w:p w14:paraId="00000290"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sz w:val="24"/>
                <w:szCs w:val="24"/>
              </w:rPr>
              <w:t>Număr</w:t>
            </w:r>
          </w:p>
        </w:tc>
        <w:tc>
          <w:tcPr>
            <w:tcW w:w="1275" w:type="dxa"/>
            <w:shd w:val="clear" w:color="auto" w:fill="auto"/>
            <w:vAlign w:val="center"/>
          </w:tcPr>
          <w:p w14:paraId="00000291"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c>
          <w:tcPr>
            <w:tcW w:w="1875" w:type="dxa"/>
            <w:shd w:val="clear" w:color="auto" w:fill="auto"/>
            <w:vAlign w:val="center"/>
          </w:tcPr>
          <w:p w14:paraId="00000292" w14:textId="77777777" w:rsidR="00C62A9B" w:rsidRPr="000D1EF3" w:rsidRDefault="00D11CD4" w:rsidP="000D1EF3">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w:t>
            </w:r>
          </w:p>
        </w:tc>
      </w:tr>
    </w:tbl>
    <w:p w14:paraId="00000293" w14:textId="77777777" w:rsidR="00C62A9B" w:rsidRPr="000D1EF3" w:rsidRDefault="00C62A9B">
      <w:pPr>
        <w:spacing w:after="120" w:line="240" w:lineRule="auto"/>
        <w:rPr>
          <w:rFonts w:asciiTheme="majorHAnsi" w:hAnsiTheme="majorHAnsi" w:cstheme="majorHAnsi"/>
          <w:b/>
          <w:sz w:val="24"/>
          <w:szCs w:val="24"/>
        </w:rPr>
      </w:pP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000" w:firstRow="0" w:lastRow="0" w:firstColumn="0" w:lastColumn="0" w:noHBand="0" w:noVBand="0"/>
      </w:tblPr>
      <w:tblGrid>
        <w:gridCol w:w="678"/>
        <w:gridCol w:w="515"/>
        <w:gridCol w:w="4981"/>
        <w:gridCol w:w="1045"/>
        <w:gridCol w:w="696"/>
        <w:gridCol w:w="999"/>
        <w:gridCol w:w="1347"/>
        <w:gridCol w:w="954"/>
        <w:gridCol w:w="923"/>
        <w:gridCol w:w="1635"/>
        <w:gridCol w:w="1923"/>
      </w:tblGrid>
      <w:tr w:rsidR="00C62A9B" w:rsidRPr="000D1EF3" w14:paraId="37E3F822" w14:textId="77777777" w:rsidTr="000D1EF3">
        <w:tc>
          <w:tcPr>
            <w:tcW w:w="15552" w:type="dxa"/>
            <w:gridSpan w:val="11"/>
          </w:tcPr>
          <w:p w14:paraId="00000294" w14:textId="4859CD98"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Tab</w:t>
            </w:r>
            <w:r w:rsidR="000D1EF3" w:rsidRPr="000D1EF3">
              <w:rPr>
                <w:rFonts w:asciiTheme="majorHAnsi" w:hAnsiTheme="majorHAnsi" w:cstheme="majorHAnsi"/>
                <w:b/>
                <w:sz w:val="24"/>
                <w:szCs w:val="24"/>
              </w:rPr>
              <w:t>e</w:t>
            </w:r>
            <w:r w:rsidRPr="000D1EF3">
              <w:rPr>
                <w:rFonts w:asciiTheme="majorHAnsi" w:hAnsiTheme="majorHAnsi" w:cstheme="majorHAnsi"/>
                <w:b/>
                <w:sz w:val="24"/>
                <w:szCs w:val="24"/>
              </w:rPr>
              <w:t>l</w:t>
            </w:r>
            <w:r w:rsidR="000D1EF3" w:rsidRPr="000D1EF3">
              <w:rPr>
                <w:rFonts w:asciiTheme="majorHAnsi" w:hAnsiTheme="majorHAnsi" w:cstheme="majorHAnsi"/>
                <w:b/>
                <w:sz w:val="24"/>
                <w:szCs w:val="24"/>
              </w:rPr>
              <w:t>ul</w:t>
            </w:r>
            <w:r w:rsidRPr="000D1EF3">
              <w:rPr>
                <w:rFonts w:asciiTheme="majorHAnsi" w:hAnsiTheme="majorHAnsi" w:cstheme="majorHAnsi"/>
                <w:b/>
                <w:sz w:val="24"/>
                <w:szCs w:val="24"/>
              </w:rPr>
              <w:t xml:space="preserve"> 2: Indicatori de rezultat</w:t>
            </w:r>
          </w:p>
        </w:tc>
      </w:tr>
      <w:tr w:rsidR="00C62A9B" w:rsidRPr="000D1EF3" w14:paraId="3FB2F0B7" w14:textId="77777777" w:rsidTr="000D1EF3">
        <w:trPr>
          <w:trHeight w:val="697"/>
        </w:trPr>
        <w:tc>
          <w:tcPr>
            <w:tcW w:w="672" w:type="dxa"/>
            <w:shd w:val="clear" w:color="auto" w:fill="C9DAF8"/>
          </w:tcPr>
          <w:p w14:paraId="0000029F" w14:textId="77777777"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Obiectiv specific</w:t>
            </w:r>
          </w:p>
        </w:tc>
        <w:tc>
          <w:tcPr>
            <w:tcW w:w="510" w:type="dxa"/>
            <w:shd w:val="clear" w:color="auto" w:fill="C9DAF8"/>
          </w:tcPr>
          <w:p w14:paraId="000002A0" w14:textId="77777777"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ID [5]</w:t>
            </w:r>
          </w:p>
        </w:tc>
        <w:tc>
          <w:tcPr>
            <w:tcW w:w="4935" w:type="dxa"/>
            <w:shd w:val="clear" w:color="auto" w:fill="C9DAF8"/>
          </w:tcPr>
          <w:p w14:paraId="000002A1" w14:textId="77777777"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Indicator[255]</w:t>
            </w:r>
          </w:p>
        </w:tc>
        <w:tc>
          <w:tcPr>
            <w:tcW w:w="1035" w:type="dxa"/>
            <w:shd w:val="clear" w:color="auto" w:fill="C9DAF8"/>
          </w:tcPr>
          <w:p w14:paraId="000002A2" w14:textId="77777777"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Unitate de măsură</w:t>
            </w:r>
          </w:p>
        </w:tc>
        <w:tc>
          <w:tcPr>
            <w:tcW w:w="690" w:type="dxa"/>
            <w:shd w:val="clear" w:color="auto" w:fill="C9DAF8"/>
          </w:tcPr>
          <w:p w14:paraId="000002A3" w14:textId="21A9E906"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Referin</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 xml:space="preserve">ă  </w:t>
            </w:r>
          </w:p>
        </w:tc>
        <w:tc>
          <w:tcPr>
            <w:tcW w:w="990" w:type="dxa"/>
            <w:shd w:val="clear" w:color="auto" w:fill="C9DAF8"/>
          </w:tcPr>
          <w:p w14:paraId="000002A4" w14:textId="2B4D784A"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Unitate de măsură de referin</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ă</w:t>
            </w:r>
          </w:p>
        </w:tc>
        <w:tc>
          <w:tcPr>
            <w:tcW w:w="1335" w:type="dxa"/>
            <w:shd w:val="clear" w:color="auto" w:fill="C9DAF8"/>
          </w:tcPr>
          <w:p w14:paraId="000002A5" w14:textId="3808C859"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An de referin</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ă</w:t>
            </w:r>
          </w:p>
        </w:tc>
        <w:tc>
          <w:tcPr>
            <w:tcW w:w="945" w:type="dxa"/>
            <w:shd w:val="clear" w:color="auto" w:fill="C9DAF8"/>
          </w:tcPr>
          <w:p w14:paraId="000002A6" w14:textId="083B6D8F" w:rsidR="00C62A9B" w:rsidRPr="000D1EF3" w:rsidRDefault="00812FFF"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Ț</w:t>
            </w:r>
            <w:r w:rsidR="00D11CD4" w:rsidRPr="000D1EF3">
              <w:rPr>
                <w:rFonts w:asciiTheme="majorHAnsi" w:hAnsiTheme="majorHAnsi" w:cstheme="majorHAnsi"/>
                <w:b/>
                <w:sz w:val="18"/>
                <w:szCs w:val="18"/>
              </w:rPr>
              <w:t>intă  (2029)</w:t>
            </w:r>
          </w:p>
        </w:tc>
        <w:tc>
          <w:tcPr>
            <w:tcW w:w="915" w:type="dxa"/>
            <w:shd w:val="clear" w:color="auto" w:fill="C9DAF8"/>
          </w:tcPr>
          <w:p w14:paraId="000002A7" w14:textId="2FCD01CE"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 xml:space="preserve">Unitate de măsură pentru </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intă</w:t>
            </w:r>
          </w:p>
        </w:tc>
        <w:tc>
          <w:tcPr>
            <w:tcW w:w="1620" w:type="dxa"/>
            <w:shd w:val="clear" w:color="auto" w:fill="C9DAF8"/>
          </w:tcPr>
          <w:p w14:paraId="000002A8" w14:textId="77777777"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Sursa datelor [200]</w:t>
            </w:r>
          </w:p>
        </w:tc>
        <w:tc>
          <w:tcPr>
            <w:tcW w:w="1905" w:type="dxa"/>
            <w:shd w:val="clear" w:color="auto" w:fill="C9DAF8"/>
          </w:tcPr>
          <w:p w14:paraId="000002A9" w14:textId="187E5A59" w:rsidR="00C62A9B" w:rsidRPr="000D1EF3" w:rsidRDefault="00D11CD4" w:rsidP="009066F9">
            <w:pPr>
              <w:pBdr>
                <w:top w:val="nil"/>
                <w:left w:val="nil"/>
                <w:bottom w:val="nil"/>
                <w:right w:val="nil"/>
                <w:between w:val="nil"/>
              </w:pBdr>
              <w:rPr>
                <w:rFonts w:asciiTheme="majorHAnsi" w:hAnsiTheme="majorHAnsi" w:cstheme="majorHAnsi"/>
                <w:b/>
                <w:sz w:val="18"/>
                <w:szCs w:val="18"/>
              </w:rPr>
            </w:pPr>
            <w:r w:rsidRPr="000D1EF3">
              <w:rPr>
                <w:rFonts w:asciiTheme="majorHAnsi" w:hAnsiTheme="majorHAnsi" w:cstheme="majorHAnsi"/>
                <w:b/>
                <w:sz w:val="18"/>
                <w:szCs w:val="18"/>
              </w:rPr>
              <w:t>Observa</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ii  [200]</w:t>
            </w:r>
          </w:p>
        </w:tc>
      </w:tr>
      <w:tr w:rsidR="00C62A9B" w:rsidRPr="000D1EF3" w14:paraId="4EC97771" w14:textId="77777777" w:rsidTr="000D1EF3">
        <w:tc>
          <w:tcPr>
            <w:tcW w:w="672" w:type="dxa"/>
            <w:vMerge w:val="restart"/>
          </w:tcPr>
          <w:p w14:paraId="000002AA" w14:textId="77777777" w:rsidR="00C62A9B" w:rsidRPr="000D1EF3" w:rsidRDefault="00D11CD4" w:rsidP="009066F9">
            <w:pPr>
              <w:pBdr>
                <w:top w:val="nil"/>
                <w:left w:val="nil"/>
                <w:bottom w:val="nil"/>
                <w:right w:val="nil"/>
                <w:between w:val="nil"/>
              </w:pBdr>
              <w:rPr>
                <w:rFonts w:asciiTheme="majorHAnsi" w:hAnsiTheme="majorHAnsi" w:cstheme="majorHAnsi"/>
                <w:b/>
                <w:i/>
                <w:sz w:val="24"/>
                <w:szCs w:val="24"/>
              </w:rPr>
            </w:pPr>
            <w:r w:rsidRPr="000D1EF3">
              <w:rPr>
                <w:rFonts w:asciiTheme="majorHAnsi" w:hAnsiTheme="majorHAnsi" w:cstheme="majorHAnsi"/>
                <w:b/>
                <w:i/>
                <w:sz w:val="24"/>
                <w:szCs w:val="24"/>
              </w:rPr>
              <w:t>2</w:t>
            </w:r>
          </w:p>
        </w:tc>
        <w:tc>
          <w:tcPr>
            <w:tcW w:w="510" w:type="dxa"/>
          </w:tcPr>
          <w:p w14:paraId="000002AB"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8</w:t>
            </w:r>
          </w:p>
        </w:tc>
        <w:tc>
          <w:tcPr>
            <w:tcW w:w="4935" w:type="dxa"/>
            <w:shd w:val="clear" w:color="auto" w:fill="auto"/>
          </w:tcPr>
          <w:p w14:paraId="000002AC" w14:textId="7E975816"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Numărul de consulate noi/modernizate în afara spa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iului Schengen</w:t>
            </w:r>
          </w:p>
        </w:tc>
        <w:tc>
          <w:tcPr>
            <w:tcW w:w="1035" w:type="dxa"/>
          </w:tcPr>
          <w:p w14:paraId="000002AD"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AE"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0,33</w:t>
            </w:r>
          </w:p>
        </w:tc>
        <w:tc>
          <w:tcPr>
            <w:tcW w:w="990" w:type="dxa"/>
          </w:tcPr>
          <w:p w14:paraId="000002AF"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i/>
                <w:sz w:val="24"/>
                <w:szCs w:val="24"/>
              </w:rPr>
              <w:t>medie anuală</w:t>
            </w:r>
          </w:p>
        </w:tc>
        <w:tc>
          <w:tcPr>
            <w:tcW w:w="1335" w:type="dxa"/>
          </w:tcPr>
          <w:p w14:paraId="000002B0"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945" w:type="dxa"/>
            <w:shd w:val="clear" w:color="auto" w:fill="auto"/>
          </w:tcPr>
          <w:p w14:paraId="000002B1" w14:textId="77777777" w:rsidR="00C62A9B" w:rsidRPr="000D1EF3" w:rsidRDefault="00D11CD4" w:rsidP="009066F9">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5</w:t>
            </w:r>
          </w:p>
        </w:tc>
        <w:tc>
          <w:tcPr>
            <w:tcW w:w="915" w:type="dxa"/>
            <w:shd w:val="clear" w:color="auto" w:fill="auto"/>
          </w:tcPr>
          <w:p w14:paraId="000002B2"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i/>
                <w:sz w:val="24"/>
                <w:szCs w:val="24"/>
              </w:rPr>
              <w:t>Număr</w:t>
            </w:r>
          </w:p>
        </w:tc>
        <w:tc>
          <w:tcPr>
            <w:tcW w:w="1620" w:type="dxa"/>
            <w:shd w:val="clear" w:color="auto" w:fill="auto"/>
          </w:tcPr>
          <w:p w14:paraId="000002B3"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proiect FSI Pretoria / 3 ani</w:t>
            </w:r>
          </w:p>
        </w:tc>
        <w:tc>
          <w:tcPr>
            <w:tcW w:w="1905" w:type="dxa"/>
          </w:tcPr>
          <w:p w14:paraId="000002B4" w14:textId="77777777" w:rsidR="00C62A9B" w:rsidRPr="000D1EF3" w:rsidRDefault="00C62A9B" w:rsidP="009066F9">
            <w:pPr>
              <w:rPr>
                <w:rFonts w:asciiTheme="majorHAnsi" w:hAnsiTheme="majorHAnsi" w:cstheme="majorHAnsi"/>
                <w:i/>
                <w:color w:val="31849B"/>
                <w:sz w:val="24"/>
                <w:szCs w:val="24"/>
              </w:rPr>
            </w:pPr>
          </w:p>
        </w:tc>
      </w:tr>
      <w:tr w:rsidR="00C62A9B" w:rsidRPr="000D1EF3" w14:paraId="21F81786" w14:textId="77777777" w:rsidTr="000D1EF3">
        <w:tc>
          <w:tcPr>
            <w:tcW w:w="672" w:type="dxa"/>
            <w:vMerge/>
          </w:tcPr>
          <w:p w14:paraId="000002B5" w14:textId="77777777" w:rsidR="00C62A9B" w:rsidRPr="000D1EF3" w:rsidRDefault="00C62A9B" w:rsidP="009066F9">
            <w:pPr>
              <w:pBdr>
                <w:top w:val="nil"/>
                <w:left w:val="nil"/>
                <w:bottom w:val="nil"/>
                <w:right w:val="nil"/>
                <w:between w:val="nil"/>
              </w:pBdr>
              <w:rPr>
                <w:rFonts w:asciiTheme="majorHAnsi" w:hAnsiTheme="majorHAnsi" w:cstheme="majorHAnsi"/>
                <w:b/>
                <w:i/>
                <w:sz w:val="24"/>
                <w:szCs w:val="24"/>
              </w:rPr>
            </w:pPr>
          </w:p>
        </w:tc>
        <w:tc>
          <w:tcPr>
            <w:tcW w:w="510" w:type="dxa"/>
          </w:tcPr>
          <w:p w14:paraId="000002B6"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8.1</w:t>
            </w:r>
          </w:p>
        </w:tc>
        <w:tc>
          <w:tcPr>
            <w:tcW w:w="4935" w:type="dxa"/>
            <w:shd w:val="clear" w:color="auto" w:fill="auto"/>
          </w:tcPr>
          <w:p w14:paraId="000002B7" w14:textId="23DA8680"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din care, numărul de consulate modernizate pentru a spori gradul de accesibilitate pentru solicitan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viză</w:t>
            </w:r>
          </w:p>
        </w:tc>
        <w:tc>
          <w:tcPr>
            <w:tcW w:w="1035" w:type="dxa"/>
          </w:tcPr>
          <w:p w14:paraId="000002B8"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B9" w14:textId="77777777" w:rsidR="00C62A9B" w:rsidRPr="000D1EF3" w:rsidRDefault="00D11CD4" w:rsidP="009066F9">
            <w:pPr>
              <w:rPr>
                <w:rFonts w:asciiTheme="majorHAnsi" w:hAnsiTheme="majorHAnsi" w:cstheme="majorHAnsi"/>
                <w:i/>
                <w:sz w:val="24"/>
                <w:szCs w:val="24"/>
              </w:rPr>
            </w:pPr>
            <w:r w:rsidRPr="000D1EF3">
              <w:rPr>
                <w:rFonts w:asciiTheme="majorHAnsi" w:hAnsiTheme="majorHAnsi" w:cstheme="majorHAnsi"/>
                <w:i/>
                <w:sz w:val="24"/>
                <w:szCs w:val="24"/>
              </w:rPr>
              <w:t>0,33</w:t>
            </w:r>
          </w:p>
        </w:tc>
        <w:tc>
          <w:tcPr>
            <w:tcW w:w="990" w:type="dxa"/>
          </w:tcPr>
          <w:p w14:paraId="000002BA"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i/>
                <w:sz w:val="24"/>
                <w:szCs w:val="24"/>
              </w:rPr>
              <w:t>medie anuală</w:t>
            </w:r>
          </w:p>
        </w:tc>
        <w:tc>
          <w:tcPr>
            <w:tcW w:w="1335" w:type="dxa"/>
          </w:tcPr>
          <w:p w14:paraId="000002BB"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945" w:type="dxa"/>
            <w:shd w:val="clear" w:color="auto" w:fill="auto"/>
          </w:tcPr>
          <w:p w14:paraId="000002BC" w14:textId="77777777" w:rsidR="00C62A9B" w:rsidRPr="000D1EF3" w:rsidRDefault="00D11CD4" w:rsidP="009066F9">
            <w:pPr>
              <w:jc w:val="center"/>
              <w:rPr>
                <w:rFonts w:asciiTheme="majorHAnsi" w:hAnsiTheme="majorHAnsi" w:cstheme="majorHAnsi"/>
                <w:b/>
                <w:sz w:val="24"/>
                <w:szCs w:val="24"/>
              </w:rPr>
            </w:pPr>
            <w:r w:rsidRPr="000D1EF3">
              <w:rPr>
                <w:rFonts w:asciiTheme="majorHAnsi" w:hAnsiTheme="majorHAnsi" w:cstheme="majorHAnsi"/>
                <w:b/>
                <w:sz w:val="24"/>
                <w:szCs w:val="24"/>
              </w:rPr>
              <w:t>5</w:t>
            </w:r>
          </w:p>
        </w:tc>
        <w:tc>
          <w:tcPr>
            <w:tcW w:w="915" w:type="dxa"/>
            <w:shd w:val="clear" w:color="auto" w:fill="auto"/>
          </w:tcPr>
          <w:p w14:paraId="000002BD" w14:textId="77777777" w:rsidR="00C62A9B" w:rsidRPr="000D1EF3" w:rsidRDefault="00D11CD4" w:rsidP="009066F9">
            <w:pPr>
              <w:jc w:val="center"/>
              <w:rPr>
                <w:rFonts w:asciiTheme="majorHAnsi" w:hAnsiTheme="majorHAnsi" w:cstheme="majorHAnsi"/>
                <w:b/>
                <w:sz w:val="24"/>
                <w:szCs w:val="24"/>
              </w:rPr>
            </w:pPr>
            <w:r w:rsidRPr="000D1EF3">
              <w:rPr>
                <w:rFonts w:asciiTheme="majorHAnsi" w:hAnsiTheme="majorHAnsi" w:cstheme="majorHAnsi"/>
                <w:i/>
                <w:sz w:val="24"/>
                <w:szCs w:val="24"/>
              </w:rPr>
              <w:t>Număr</w:t>
            </w:r>
          </w:p>
        </w:tc>
        <w:tc>
          <w:tcPr>
            <w:tcW w:w="1620" w:type="dxa"/>
            <w:shd w:val="clear" w:color="auto" w:fill="auto"/>
          </w:tcPr>
          <w:p w14:paraId="000002BE" w14:textId="77777777" w:rsidR="00C62A9B" w:rsidRPr="000D1EF3" w:rsidRDefault="00D11CD4" w:rsidP="009066F9">
            <w:pPr>
              <w:rPr>
                <w:rFonts w:asciiTheme="majorHAnsi" w:hAnsiTheme="majorHAnsi" w:cstheme="majorHAnsi"/>
                <w:i/>
                <w:sz w:val="24"/>
                <w:szCs w:val="24"/>
              </w:rPr>
            </w:pPr>
            <w:r w:rsidRPr="000D1EF3">
              <w:rPr>
                <w:rFonts w:asciiTheme="majorHAnsi" w:hAnsiTheme="majorHAnsi" w:cstheme="majorHAnsi"/>
                <w:i/>
                <w:sz w:val="24"/>
                <w:szCs w:val="24"/>
              </w:rPr>
              <w:t>proiect FSI Pretoria / 3 ani</w:t>
            </w:r>
          </w:p>
        </w:tc>
        <w:tc>
          <w:tcPr>
            <w:tcW w:w="1905" w:type="dxa"/>
          </w:tcPr>
          <w:p w14:paraId="000002BF" w14:textId="77777777" w:rsidR="00C62A9B" w:rsidRPr="000D1EF3" w:rsidRDefault="00C62A9B" w:rsidP="009066F9">
            <w:pPr>
              <w:rPr>
                <w:rFonts w:asciiTheme="majorHAnsi" w:hAnsiTheme="majorHAnsi" w:cstheme="majorHAnsi"/>
                <w:i/>
                <w:color w:val="31849B"/>
                <w:sz w:val="24"/>
                <w:szCs w:val="24"/>
              </w:rPr>
            </w:pPr>
          </w:p>
        </w:tc>
      </w:tr>
      <w:tr w:rsidR="00C62A9B" w:rsidRPr="000D1EF3" w14:paraId="45AB319E" w14:textId="77777777" w:rsidTr="000D1EF3">
        <w:tc>
          <w:tcPr>
            <w:tcW w:w="672" w:type="dxa"/>
            <w:vMerge/>
          </w:tcPr>
          <w:p w14:paraId="000002C0" w14:textId="77777777" w:rsidR="00C62A9B" w:rsidRPr="000D1EF3" w:rsidRDefault="00C62A9B" w:rsidP="009066F9">
            <w:pPr>
              <w:pBdr>
                <w:top w:val="nil"/>
                <w:left w:val="nil"/>
                <w:bottom w:val="nil"/>
                <w:right w:val="nil"/>
                <w:between w:val="nil"/>
              </w:pBdr>
              <w:rPr>
                <w:rFonts w:asciiTheme="majorHAnsi" w:hAnsiTheme="majorHAnsi" w:cstheme="majorHAnsi"/>
                <w:b/>
                <w:i/>
                <w:sz w:val="24"/>
                <w:szCs w:val="24"/>
              </w:rPr>
            </w:pPr>
          </w:p>
        </w:tc>
        <w:tc>
          <w:tcPr>
            <w:tcW w:w="510" w:type="dxa"/>
          </w:tcPr>
          <w:p w14:paraId="000002C1"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9</w:t>
            </w:r>
          </w:p>
        </w:tc>
        <w:tc>
          <w:tcPr>
            <w:tcW w:w="4935" w:type="dxa"/>
            <w:shd w:val="clear" w:color="auto" w:fill="auto"/>
          </w:tcPr>
          <w:p w14:paraId="000002C2" w14:textId="77777777"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Numărul de recomandări adresate în urma evaluărilor Schengen în domeniul politicii comune a vizelor</w:t>
            </w:r>
          </w:p>
        </w:tc>
        <w:tc>
          <w:tcPr>
            <w:tcW w:w="1035" w:type="dxa"/>
          </w:tcPr>
          <w:p w14:paraId="000002C3"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C4"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0</w:t>
            </w:r>
          </w:p>
        </w:tc>
        <w:tc>
          <w:tcPr>
            <w:tcW w:w="990" w:type="dxa"/>
          </w:tcPr>
          <w:p w14:paraId="000002C5"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i/>
                <w:sz w:val="24"/>
                <w:szCs w:val="24"/>
              </w:rPr>
              <w:t>Număr</w:t>
            </w:r>
          </w:p>
        </w:tc>
        <w:tc>
          <w:tcPr>
            <w:tcW w:w="1335" w:type="dxa"/>
          </w:tcPr>
          <w:p w14:paraId="000002C6" w14:textId="77777777" w:rsidR="00C62A9B" w:rsidRPr="000D1EF3" w:rsidRDefault="00C62A9B" w:rsidP="009066F9">
            <w:pPr>
              <w:pBdr>
                <w:top w:val="nil"/>
                <w:left w:val="nil"/>
                <w:bottom w:val="nil"/>
                <w:right w:val="nil"/>
                <w:between w:val="nil"/>
              </w:pBdr>
              <w:rPr>
                <w:rFonts w:asciiTheme="majorHAnsi" w:hAnsiTheme="majorHAnsi" w:cstheme="majorHAnsi"/>
                <w:b/>
                <w:sz w:val="24"/>
                <w:szCs w:val="24"/>
              </w:rPr>
            </w:pPr>
          </w:p>
        </w:tc>
        <w:tc>
          <w:tcPr>
            <w:tcW w:w="945" w:type="dxa"/>
            <w:shd w:val="clear" w:color="auto" w:fill="auto"/>
          </w:tcPr>
          <w:p w14:paraId="000002C7" w14:textId="77777777" w:rsidR="00C62A9B" w:rsidRPr="000D1EF3" w:rsidRDefault="00D11CD4" w:rsidP="009066F9">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915" w:type="dxa"/>
            <w:shd w:val="clear" w:color="auto" w:fill="auto"/>
          </w:tcPr>
          <w:p w14:paraId="000002C8" w14:textId="77777777" w:rsidR="00C62A9B" w:rsidRPr="000D1EF3" w:rsidRDefault="00D11CD4" w:rsidP="009066F9">
            <w:pPr>
              <w:jc w:val="center"/>
              <w:rPr>
                <w:rFonts w:asciiTheme="majorHAnsi" w:hAnsiTheme="majorHAnsi" w:cstheme="majorHAnsi"/>
                <w:b/>
                <w:i/>
                <w:sz w:val="24"/>
                <w:szCs w:val="24"/>
              </w:rPr>
            </w:pPr>
            <w:r w:rsidRPr="000D1EF3">
              <w:rPr>
                <w:rFonts w:asciiTheme="majorHAnsi" w:hAnsiTheme="majorHAnsi" w:cstheme="majorHAnsi"/>
                <w:i/>
                <w:sz w:val="24"/>
                <w:szCs w:val="24"/>
              </w:rPr>
              <w:t>Procent</w:t>
            </w:r>
          </w:p>
        </w:tc>
        <w:tc>
          <w:tcPr>
            <w:tcW w:w="1620" w:type="dxa"/>
            <w:shd w:val="clear" w:color="auto" w:fill="auto"/>
          </w:tcPr>
          <w:p w14:paraId="000002C9" w14:textId="77777777" w:rsidR="00C62A9B" w:rsidRPr="000D1EF3" w:rsidRDefault="00C62A9B" w:rsidP="009066F9">
            <w:pPr>
              <w:pBdr>
                <w:top w:val="nil"/>
                <w:left w:val="nil"/>
                <w:bottom w:val="nil"/>
                <w:right w:val="nil"/>
                <w:between w:val="nil"/>
              </w:pBdr>
              <w:rPr>
                <w:rFonts w:asciiTheme="majorHAnsi" w:hAnsiTheme="majorHAnsi" w:cstheme="majorHAnsi"/>
                <w:i/>
                <w:sz w:val="24"/>
                <w:szCs w:val="24"/>
              </w:rPr>
            </w:pPr>
          </w:p>
        </w:tc>
        <w:tc>
          <w:tcPr>
            <w:tcW w:w="1905" w:type="dxa"/>
          </w:tcPr>
          <w:p w14:paraId="000002CA" w14:textId="77777777" w:rsidR="00C62A9B" w:rsidRPr="000D1EF3" w:rsidRDefault="00C62A9B" w:rsidP="009066F9">
            <w:pPr>
              <w:rPr>
                <w:rFonts w:asciiTheme="majorHAnsi" w:hAnsiTheme="majorHAnsi" w:cstheme="majorHAnsi"/>
                <w:i/>
                <w:color w:val="31849B"/>
                <w:sz w:val="24"/>
                <w:szCs w:val="24"/>
              </w:rPr>
            </w:pPr>
          </w:p>
        </w:tc>
      </w:tr>
      <w:tr w:rsidR="00C62A9B" w:rsidRPr="000D1EF3" w14:paraId="539B4E3E" w14:textId="77777777" w:rsidTr="000D1EF3">
        <w:tc>
          <w:tcPr>
            <w:tcW w:w="672" w:type="dxa"/>
            <w:vMerge/>
          </w:tcPr>
          <w:p w14:paraId="000002CB" w14:textId="77777777" w:rsidR="00C62A9B" w:rsidRPr="000D1EF3" w:rsidRDefault="00C62A9B" w:rsidP="009066F9">
            <w:pPr>
              <w:pBdr>
                <w:top w:val="nil"/>
                <w:left w:val="nil"/>
                <w:bottom w:val="nil"/>
                <w:right w:val="nil"/>
                <w:between w:val="nil"/>
              </w:pBdr>
              <w:rPr>
                <w:rFonts w:asciiTheme="majorHAnsi" w:hAnsiTheme="majorHAnsi" w:cstheme="majorHAnsi"/>
                <w:b/>
                <w:i/>
                <w:sz w:val="24"/>
                <w:szCs w:val="24"/>
              </w:rPr>
            </w:pPr>
          </w:p>
        </w:tc>
        <w:tc>
          <w:tcPr>
            <w:tcW w:w="510" w:type="dxa"/>
          </w:tcPr>
          <w:p w14:paraId="000002CC"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10</w:t>
            </w:r>
          </w:p>
        </w:tc>
        <w:tc>
          <w:tcPr>
            <w:tcW w:w="4935" w:type="dxa"/>
            <w:shd w:val="clear" w:color="auto" w:fill="auto"/>
          </w:tcPr>
          <w:p w14:paraId="000002CD" w14:textId="77777777"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Numărul de cereri de viză care utilizează mijloace digitale</w:t>
            </w:r>
          </w:p>
        </w:tc>
        <w:tc>
          <w:tcPr>
            <w:tcW w:w="1035" w:type="dxa"/>
          </w:tcPr>
          <w:p w14:paraId="000002CE"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CF"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100%</w:t>
            </w:r>
          </w:p>
        </w:tc>
        <w:tc>
          <w:tcPr>
            <w:tcW w:w="990" w:type="dxa"/>
          </w:tcPr>
          <w:p w14:paraId="000002D0" w14:textId="77777777" w:rsidR="00C62A9B" w:rsidRPr="000D1EF3" w:rsidRDefault="00D11CD4" w:rsidP="009066F9">
            <w:pPr>
              <w:rPr>
                <w:rFonts w:asciiTheme="majorHAnsi" w:hAnsiTheme="majorHAnsi" w:cstheme="majorHAnsi"/>
                <w:b/>
                <w:i/>
                <w:sz w:val="24"/>
                <w:szCs w:val="24"/>
              </w:rPr>
            </w:pPr>
            <w:r w:rsidRPr="000D1EF3">
              <w:rPr>
                <w:rFonts w:asciiTheme="majorHAnsi" w:hAnsiTheme="majorHAnsi" w:cstheme="majorHAnsi"/>
                <w:i/>
                <w:sz w:val="24"/>
                <w:szCs w:val="24"/>
              </w:rPr>
              <w:t>Procent</w:t>
            </w:r>
          </w:p>
        </w:tc>
        <w:tc>
          <w:tcPr>
            <w:tcW w:w="1335" w:type="dxa"/>
          </w:tcPr>
          <w:p w14:paraId="000002D1"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b/>
                <w:sz w:val="24"/>
                <w:szCs w:val="24"/>
              </w:rPr>
              <w:t>2018-2019</w:t>
            </w:r>
          </w:p>
        </w:tc>
        <w:tc>
          <w:tcPr>
            <w:tcW w:w="945" w:type="dxa"/>
            <w:shd w:val="clear" w:color="auto" w:fill="auto"/>
          </w:tcPr>
          <w:p w14:paraId="000002D2" w14:textId="77777777" w:rsidR="00C62A9B" w:rsidRPr="000D1EF3" w:rsidRDefault="00D11CD4" w:rsidP="009066F9">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100%</w:t>
            </w:r>
          </w:p>
        </w:tc>
        <w:tc>
          <w:tcPr>
            <w:tcW w:w="915" w:type="dxa"/>
            <w:shd w:val="clear" w:color="auto" w:fill="auto"/>
          </w:tcPr>
          <w:p w14:paraId="000002D3" w14:textId="77777777" w:rsidR="00C62A9B" w:rsidRPr="000D1EF3" w:rsidRDefault="00D11CD4" w:rsidP="009066F9">
            <w:pPr>
              <w:rPr>
                <w:rFonts w:asciiTheme="majorHAnsi" w:hAnsiTheme="majorHAnsi" w:cstheme="majorHAnsi"/>
                <w:b/>
                <w:i/>
                <w:sz w:val="24"/>
                <w:szCs w:val="24"/>
              </w:rPr>
            </w:pPr>
            <w:r w:rsidRPr="000D1EF3">
              <w:rPr>
                <w:rFonts w:asciiTheme="majorHAnsi" w:hAnsiTheme="majorHAnsi" w:cstheme="majorHAnsi"/>
                <w:i/>
                <w:sz w:val="24"/>
                <w:szCs w:val="24"/>
              </w:rPr>
              <w:t>Procent</w:t>
            </w:r>
          </w:p>
        </w:tc>
        <w:tc>
          <w:tcPr>
            <w:tcW w:w="1620" w:type="dxa"/>
            <w:shd w:val="clear" w:color="auto" w:fill="auto"/>
          </w:tcPr>
          <w:p w14:paraId="000002D4"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statistică MAE</w:t>
            </w:r>
          </w:p>
        </w:tc>
        <w:tc>
          <w:tcPr>
            <w:tcW w:w="1905" w:type="dxa"/>
          </w:tcPr>
          <w:p w14:paraId="000002D5" w14:textId="77777777" w:rsidR="00C62A9B" w:rsidRPr="000D1EF3" w:rsidRDefault="00C62A9B" w:rsidP="009066F9">
            <w:pPr>
              <w:rPr>
                <w:rFonts w:asciiTheme="majorHAnsi" w:hAnsiTheme="majorHAnsi" w:cstheme="majorHAnsi"/>
                <w:i/>
                <w:color w:val="31849B"/>
                <w:sz w:val="24"/>
                <w:szCs w:val="24"/>
              </w:rPr>
            </w:pPr>
          </w:p>
        </w:tc>
      </w:tr>
      <w:tr w:rsidR="00C62A9B" w:rsidRPr="000D1EF3" w14:paraId="0815842F" w14:textId="77777777" w:rsidTr="000D1EF3">
        <w:trPr>
          <w:trHeight w:val="1321"/>
        </w:trPr>
        <w:tc>
          <w:tcPr>
            <w:tcW w:w="672" w:type="dxa"/>
            <w:vMerge/>
          </w:tcPr>
          <w:p w14:paraId="000002D6" w14:textId="77777777" w:rsidR="00C62A9B" w:rsidRPr="000D1EF3" w:rsidRDefault="00C62A9B" w:rsidP="009066F9">
            <w:pPr>
              <w:pBdr>
                <w:top w:val="nil"/>
                <w:left w:val="nil"/>
                <w:bottom w:val="nil"/>
                <w:right w:val="nil"/>
                <w:between w:val="nil"/>
              </w:pBdr>
              <w:rPr>
                <w:rFonts w:asciiTheme="majorHAnsi" w:hAnsiTheme="majorHAnsi" w:cstheme="majorHAnsi"/>
                <w:b/>
                <w:i/>
                <w:sz w:val="24"/>
                <w:szCs w:val="24"/>
              </w:rPr>
            </w:pPr>
          </w:p>
        </w:tc>
        <w:tc>
          <w:tcPr>
            <w:tcW w:w="510" w:type="dxa"/>
          </w:tcPr>
          <w:p w14:paraId="000002D7"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11</w:t>
            </w:r>
          </w:p>
        </w:tc>
        <w:tc>
          <w:tcPr>
            <w:tcW w:w="4935" w:type="dxa"/>
            <w:shd w:val="clear" w:color="auto" w:fill="auto"/>
          </w:tcPr>
          <w:p w14:paraId="000002D8" w14:textId="4A4E6C89"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Numărul de forme ini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iate/îmbunătă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ite de cooperare între statele membre în materie de prelucrare a cererilor de viză</w:t>
            </w:r>
          </w:p>
        </w:tc>
        <w:tc>
          <w:tcPr>
            <w:tcW w:w="1035" w:type="dxa"/>
          </w:tcPr>
          <w:p w14:paraId="000002D9"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DA"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0</w:t>
            </w:r>
          </w:p>
        </w:tc>
        <w:tc>
          <w:tcPr>
            <w:tcW w:w="990" w:type="dxa"/>
          </w:tcPr>
          <w:p w14:paraId="000002DB"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i/>
                <w:sz w:val="24"/>
                <w:szCs w:val="24"/>
              </w:rPr>
              <w:t>medie anuală</w:t>
            </w:r>
          </w:p>
        </w:tc>
        <w:tc>
          <w:tcPr>
            <w:tcW w:w="1335" w:type="dxa"/>
          </w:tcPr>
          <w:p w14:paraId="000002DC"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b/>
                <w:sz w:val="24"/>
                <w:szCs w:val="24"/>
              </w:rPr>
              <w:t>2018-2020</w:t>
            </w:r>
          </w:p>
        </w:tc>
        <w:tc>
          <w:tcPr>
            <w:tcW w:w="945" w:type="dxa"/>
            <w:shd w:val="clear" w:color="auto" w:fill="auto"/>
          </w:tcPr>
          <w:p w14:paraId="000002DD" w14:textId="77777777" w:rsidR="00C62A9B" w:rsidRPr="000D1EF3" w:rsidRDefault="00D11CD4" w:rsidP="009066F9">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0%</w:t>
            </w:r>
          </w:p>
        </w:tc>
        <w:tc>
          <w:tcPr>
            <w:tcW w:w="915" w:type="dxa"/>
            <w:shd w:val="clear" w:color="auto" w:fill="auto"/>
          </w:tcPr>
          <w:p w14:paraId="000002DE" w14:textId="77777777" w:rsidR="00C62A9B" w:rsidRPr="000D1EF3" w:rsidRDefault="00C62A9B" w:rsidP="009066F9">
            <w:pPr>
              <w:pBdr>
                <w:top w:val="nil"/>
                <w:left w:val="nil"/>
                <w:bottom w:val="nil"/>
                <w:right w:val="nil"/>
                <w:between w:val="nil"/>
              </w:pBdr>
              <w:jc w:val="center"/>
              <w:rPr>
                <w:rFonts w:asciiTheme="majorHAnsi" w:hAnsiTheme="majorHAnsi" w:cstheme="majorHAnsi"/>
                <w:b/>
                <w:sz w:val="24"/>
                <w:szCs w:val="24"/>
              </w:rPr>
            </w:pPr>
          </w:p>
        </w:tc>
        <w:tc>
          <w:tcPr>
            <w:tcW w:w="1620" w:type="dxa"/>
            <w:shd w:val="clear" w:color="auto" w:fill="auto"/>
          </w:tcPr>
          <w:p w14:paraId="000002DF" w14:textId="77777777" w:rsidR="00C62A9B" w:rsidRPr="000D1EF3" w:rsidRDefault="00C62A9B" w:rsidP="009066F9">
            <w:pPr>
              <w:pBdr>
                <w:top w:val="nil"/>
                <w:left w:val="nil"/>
                <w:bottom w:val="nil"/>
                <w:right w:val="nil"/>
                <w:between w:val="nil"/>
              </w:pBdr>
              <w:rPr>
                <w:rFonts w:asciiTheme="majorHAnsi" w:hAnsiTheme="majorHAnsi" w:cstheme="majorHAnsi"/>
                <w:i/>
                <w:sz w:val="24"/>
                <w:szCs w:val="24"/>
              </w:rPr>
            </w:pPr>
          </w:p>
        </w:tc>
        <w:tc>
          <w:tcPr>
            <w:tcW w:w="1905" w:type="dxa"/>
          </w:tcPr>
          <w:p w14:paraId="000002E0" w14:textId="3FC33D61" w:rsidR="00C62A9B" w:rsidRPr="000D1EF3" w:rsidRDefault="00D11CD4" w:rsidP="009066F9">
            <w:pPr>
              <w:rPr>
                <w:rFonts w:asciiTheme="majorHAnsi" w:hAnsiTheme="majorHAnsi" w:cstheme="majorHAnsi"/>
                <w:i/>
                <w:color w:val="31849B"/>
                <w:sz w:val="24"/>
                <w:szCs w:val="24"/>
              </w:rPr>
            </w:pPr>
            <w:r w:rsidRPr="000D1EF3">
              <w:rPr>
                <w:rFonts w:asciiTheme="majorHAnsi" w:hAnsiTheme="majorHAnsi" w:cstheme="majorHAnsi"/>
                <w:i/>
                <w:sz w:val="24"/>
                <w:szCs w:val="24"/>
              </w:rPr>
              <w:t>Această categorie de proiecte vor putea fi ini</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iate după aderarea RO la spa</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iul Schengen</w:t>
            </w:r>
          </w:p>
        </w:tc>
      </w:tr>
      <w:tr w:rsidR="00C62A9B" w:rsidRPr="000D1EF3" w14:paraId="3C7CA284" w14:textId="77777777" w:rsidTr="009066F9">
        <w:trPr>
          <w:trHeight w:val="682"/>
        </w:trPr>
        <w:tc>
          <w:tcPr>
            <w:tcW w:w="672" w:type="dxa"/>
            <w:vMerge/>
          </w:tcPr>
          <w:p w14:paraId="000002E1" w14:textId="77777777" w:rsidR="00C62A9B" w:rsidRPr="000D1EF3" w:rsidRDefault="00C62A9B" w:rsidP="009066F9">
            <w:pPr>
              <w:pBdr>
                <w:top w:val="nil"/>
                <w:left w:val="nil"/>
                <w:bottom w:val="nil"/>
                <w:right w:val="nil"/>
                <w:between w:val="nil"/>
              </w:pBdr>
              <w:rPr>
                <w:rFonts w:asciiTheme="majorHAnsi" w:hAnsiTheme="majorHAnsi" w:cstheme="majorHAnsi"/>
                <w:b/>
                <w:i/>
                <w:sz w:val="24"/>
                <w:szCs w:val="24"/>
              </w:rPr>
            </w:pPr>
          </w:p>
        </w:tc>
        <w:tc>
          <w:tcPr>
            <w:tcW w:w="510" w:type="dxa"/>
          </w:tcPr>
          <w:p w14:paraId="000002E2"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12</w:t>
            </w:r>
          </w:p>
        </w:tc>
        <w:tc>
          <w:tcPr>
            <w:tcW w:w="4935" w:type="dxa"/>
            <w:shd w:val="clear" w:color="auto" w:fill="auto"/>
          </w:tcPr>
          <w:p w14:paraId="000002E3" w14:textId="0B0C7CB7" w:rsidR="00C62A9B" w:rsidRPr="000D1EF3" w:rsidRDefault="00D11CD4" w:rsidP="009066F9">
            <w:pPr>
              <w:pBdr>
                <w:top w:val="nil"/>
                <w:left w:val="nil"/>
                <w:bottom w:val="nil"/>
                <w:right w:val="nil"/>
                <w:between w:val="nil"/>
              </w:pBdr>
              <w:rPr>
                <w:rFonts w:asciiTheme="majorHAnsi" w:hAnsiTheme="majorHAnsi" w:cstheme="majorHAnsi"/>
                <w:sz w:val="24"/>
                <w:szCs w:val="24"/>
              </w:rPr>
            </w:pPr>
            <w:r w:rsidRPr="000D1EF3">
              <w:rPr>
                <w:rFonts w:asciiTheme="majorHAnsi" w:hAnsiTheme="majorHAnsi" w:cstheme="majorHAnsi"/>
                <w:sz w:val="24"/>
                <w:szCs w:val="24"/>
              </w:rPr>
              <w:t>Numărul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care raportează, la trei luni de la activitatea de formare, că utilizează 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și competen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ele dobândite în cursul respectivelor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formare</w:t>
            </w:r>
          </w:p>
        </w:tc>
        <w:tc>
          <w:tcPr>
            <w:tcW w:w="1035" w:type="dxa"/>
          </w:tcPr>
          <w:p w14:paraId="000002E4"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Număr</w:t>
            </w:r>
          </w:p>
        </w:tc>
        <w:tc>
          <w:tcPr>
            <w:tcW w:w="690" w:type="dxa"/>
          </w:tcPr>
          <w:p w14:paraId="000002E5"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n/a</w:t>
            </w:r>
          </w:p>
        </w:tc>
        <w:tc>
          <w:tcPr>
            <w:tcW w:w="990" w:type="dxa"/>
          </w:tcPr>
          <w:p w14:paraId="000002E6" w14:textId="77777777" w:rsidR="00C62A9B" w:rsidRPr="000D1EF3" w:rsidRDefault="00D11CD4" w:rsidP="009066F9">
            <w:pPr>
              <w:rPr>
                <w:rFonts w:asciiTheme="majorHAnsi" w:hAnsiTheme="majorHAnsi" w:cstheme="majorHAnsi"/>
                <w:b/>
                <w:i/>
                <w:sz w:val="24"/>
                <w:szCs w:val="24"/>
              </w:rPr>
            </w:pPr>
            <w:r w:rsidRPr="000D1EF3">
              <w:rPr>
                <w:rFonts w:asciiTheme="majorHAnsi" w:hAnsiTheme="majorHAnsi" w:cstheme="majorHAnsi"/>
                <w:i/>
                <w:sz w:val="24"/>
                <w:szCs w:val="24"/>
              </w:rPr>
              <w:t>Procent</w:t>
            </w:r>
          </w:p>
        </w:tc>
        <w:tc>
          <w:tcPr>
            <w:tcW w:w="1335" w:type="dxa"/>
          </w:tcPr>
          <w:p w14:paraId="000002E7"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2014-2020</w:t>
            </w:r>
          </w:p>
        </w:tc>
        <w:tc>
          <w:tcPr>
            <w:tcW w:w="945" w:type="dxa"/>
            <w:shd w:val="clear" w:color="auto" w:fill="auto"/>
          </w:tcPr>
          <w:p w14:paraId="000002E8" w14:textId="77777777" w:rsidR="00C62A9B" w:rsidRPr="000D1EF3" w:rsidRDefault="00D11CD4" w:rsidP="009066F9">
            <w:pPr>
              <w:pBdr>
                <w:top w:val="nil"/>
                <w:left w:val="nil"/>
                <w:bottom w:val="nil"/>
                <w:right w:val="nil"/>
                <w:between w:val="nil"/>
              </w:pBdr>
              <w:jc w:val="center"/>
              <w:rPr>
                <w:rFonts w:asciiTheme="majorHAnsi" w:hAnsiTheme="majorHAnsi" w:cstheme="majorHAnsi"/>
                <w:b/>
                <w:sz w:val="24"/>
                <w:szCs w:val="24"/>
              </w:rPr>
            </w:pPr>
            <w:r w:rsidRPr="000D1EF3">
              <w:rPr>
                <w:rFonts w:asciiTheme="majorHAnsi" w:hAnsiTheme="majorHAnsi" w:cstheme="majorHAnsi"/>
                <w:b/>
                <w:sz w:val="24"/>
                <w:szCs w:val="24"/>
              </w:rPr>
              <w:t>120</w:t>
            </w:r>
          </w:p>
        </w:tc>
        <w:tc>
          <w:tcPr>
            <w:tcW w:w="915" w:type="dxa"/>
            <w:shd w:val="clear" w:color="auto" w:fill="auto"/>
          </w:tcPr>
          <w:p w14:paraId="000002E9" w14:textId="77777777" w:rsidR="00C62A9B" w:rsidRPr="000D1EF3" w:rsidRDefault="00D11CD4" w:rsidP="009066F9">
            <w:pPr>
              <w:rPr>
                <w:rFonts w:asciiTheme="majorHAnsi" w:hAnsiTheme="majorHAnsi" w:cstheme="majorHAnsi"/>
                <w:b/>
                <w:sz w:val="24"/>
                <w:szCs w:val="24"/>
              </w:rPr>
            </w:pPr>
            <w:r w:rsidRPr="000D1EF3">
              <w:rPr>
                <w:rFonts w:asciiTheme="majorHAnsi" w:hAnsiTheme="majorHAnsi" w:cstheme="majorHAnsi"/>
                <w:i/>
                <w:sz w:val="24"/>
                <w:szCs w:val="24"/>
              </w:rPr>
              <w:t>Număr</w:t>
            </w:r>
          </w:p>
        </w:tc>
        <w:tc>
          <w:tcPr>
            <w:tcW w:w="1620" w:type="dxa"/>
            <w:shd w:val="clear" w:color="auto" w:fill="auto"/>
          </w:tcPr>
          <w:p w14:paraId="000002EA" w14:textId="77777777" w:rsidR="00C62A9B" w:rsidRPr="000D1EF3" w:rsidRDefault="00D11CD4" w:rsidP="009066F9">
            <w:pPr>
              <w:pBdr>
                <w:top w:val="nil"/>
                <w:left w:val="nil"/>
                <w:bottom w:val="nil"/>
                <w:right w:val="nil"/>
                <w:between w:val="nil"/>
              </w:pBdr>
              <w:rPr>
                <w:rFonts w:asciiTheme="majorHAnsi" w:hAnsiTheme="majorHAnsi" w:cstheme="majorHAnsi"/>
                <w:i/>
                <w:sz w:val="24"/>
                <w:szCs w:val="24"/>
              </w:rPr>
            </w:pPr>
            <w:r w:rsidRPr="000D1EF3">
              <w:rPr>
                <w:rFonts w:asciiTheme="majorHAnsi" w:hAnsiTheme="majorHAnsi" w:cstheme="majorHAnsi"/>
                <w:i/>
                <w:sz w:val="24"/>
                <w:szCs w:val="24"/>
              </w:rPr>
              <w:t xml:space="preserve">nu există date istorice </w:t>
            </w:r>
          </w:p>
        </w:tc>
        <w:tc>
          <w:tcPr>
            <w:tcW w:w="1905" w:type="dxa"/>
          </w:tcPr>
          <w:p w14:paraId="000002EB" w14:textId="77777777" w:rsidR="00C62A9B" w:rsidRPr="000D1EF3" w:rsidRDefault="00C62A9B" w:rsidP="009066F9">
            <w:pPr>
              <w:rPr>
                <w:rFonts w:asciiTheme="majorHAnsi" w:hAnsiTheme="majorHAnsi" w:cstheme="majorHAnsi"/>
                <w:i/>
                <w:color w:val="31849B"/>
                <w:sz w:val="24"/>
                <w:szCs w:val="24"/>
              </w:rPr>
            </w:pPr>
          </w:p>
        </w:tc>
      </w:tr>
    </w:tbl>
    <w:p w14:paraId="000002EC" w14:textId="77777777" w:rsidR="00C62A9B" w:rsidRPr="000D1EF3" w:rsidRDefault="00C62A9B">
      <w:pPr>
        <w:keepNext/>
        <w:spacing w:after="120" w:line="240" w:lineRule="auto"/>
        <w:rPr>
          <w:rFonts w:asciiTheme="majorHAnsi" w:hAnsiTheme="majorHAnsi" w:cstheme="majorHAnsi"/>
          <w:b/>
          <w:sz w:val="24"/>
          <w:szCs w:val="24"/>
        </w:rPr>
        <w:sectPr w:rsidR="00C62A9B" w:rsidRPr="000D1EF3" w:rsidSect="00812FFF">
          <w:pgSz w:w="16840" w:h="11907" w:code="9"/>
          <w:pgMar w:top="1134" w:right="567" w:bottom="1134" w:left="567" w:header="567" w:footer="567" w:gutter="0"/>
          <w:pgNumType w:start="1"/>
          <w:cols w:space="720"/>
        </w:sectPr>
      </w:pPr>
    </w:p>
    <w:p w14:paraId="000002ED" w14:textId="77777777" w:rsidR="00C62A9B" w:rsidRPr="000D1EF3" w:rsidRDefault="00C62A9B">
      <w:pPr>
        <w:keepNext/>
        <w:spacing w:after="120" w:line="240" w:lineRule="auto"/>
        <w:rPr>
          <w:rFonts w:asciiTheme="majorHAnsi" w:hAnsiTheme="majorHAnsi" w:cstheme="majorHAnsi"/>
          <w:b/>
          <w:sz w:val="24"/>
          <w:szCs w:val="24"/>
        </w:rPr>
      </w:pPr>
    </w:p>
    <w:p w14:paraId="000002EE" w14:textId="77777777" w:rsidR="00C62A9B" w:rsidRPr="000D1EF3" w:rsidRDefault="00C62A9B">
      <w:pPr>
        <w:keepNext/>
        <w:spacing w:after="120" w:line="240" w:lineRule="auto"/>
        <w:rPr>
          <w:rFonts w:asciiTheme="majorHAnsi" w:hAnsiTheme="majorHAnsi" w:cstheme="majorHAnsi"/>
          <w:b/>
          <w:sz w:val="24"/>
          <w:szCs w:val="24"/>
        </w:rPr>
      </w:pPr>
    </w:p>
    <w:p w14:paraId="000002EF" w14:textId="33155075" w:rsidR="00C62A9B" w:rsidRPr="000D1EF3" w:rsidRDefault="00D11CD4" w:rsidP="00E43440">
      <w:pPr>
        <w:pStyle w:val="Heading2"/>
      </w:pPr>
      <w:bookmarkStart w:id="31" w:name="_Toc78795677"/>
      <w:r w:rsidRPr="000D1EF3">
        <w:t>2.1.3. Defalcare orientativă a resurselor programate (UE), în func</w:t>
      </w:r>
      <w:r w:rsidR="00812FFF" w:rsidRPr="000D1EF3">
        <w:t>ț</w:t>
      </w:r>
      <w:r w:rsidRPr="000D1EF3">
        <w:t>ie de tipul de interven</w:t>
      </w:r>
      <w:r w:rsidR="00812FFF" w:rsidRPr="000D1EF3">
        <w:t>ț</w:t>
      </w:r>
      <w:r w:rsidRPr="000D1EF3">
        <w:t>ie</w:t>
      </w:r>
      <w:bookmarkEnd w:id="31"/>
    </w:p>
    <w:p w14:paraId="000002F0"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(5) din RDC și  articolul 13 alineatul (18) din Regulamentul IMFV</w:t>
      </w:r>
    </w:p>
    <w:p w14:paraId="000002F1" w14:textId="77777777"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3: Defalcare orientativă</w:t>
      </w:r>
    </w:p>
    <w:tbl>
      <w:tblPr>
        <w:tblStyle w:val="a7"/>
        <w:tblW w:w="9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57" w:type="dxa"/>
        </w:tblCellMar>
        <w:tblLook w:val="0400" w:firstRow="0" w:lastRow="0" w:firstColumn="0" w:lastColumn="0" w:noHBand="0" w:noVBand="1"/>
      </w:tblPr>
      <w:tblGrid>
        <w:gridCol w:w="750"/>
        <w:gridCol w:w="5955"/>
        <w:gridCol w:w="690"/>
        <w:gridCol w:w="1920"/>
      </w:tblGrid>
      <w:tr w:rsidR="00C62A9B" w:rsidRPr="000D1EF3" w14:paraId="14737893" w14:textId="77777777" w:rsidTr="009066F9">
        <w:tc>
          <w:tcPr>
            <w:tcW w:w="750" w:type="dxa"/>
            <w:vAlign w:val="center"/>
          </w:tcPr>
          <w:p w14:paraId="000002F2" w14:textId="2A4FA643"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Obiectiv specific</w:t>
            </w:r>
          </w:p>
        </w:tc>
        <w:tc>
          <w:tcPr>
            <w:tcW w:w="5955" w:type="dxa"/>
            <w:vAlign w:val="center"/>
          </w:tcPr>
          <w:p w14:paraId="000002F3" w14:textId="4A1042E9"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Tip de interven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w:t>
            </w:r>
          </w:p>
        </w:tc>
        <w:tc>
          <w:tcPr>
            <w:tcW w:w="690" w:type="dxa"/>
            <w:vAlign w:val="center"/>
          </w:tcPr>
          <w:p w14:paraId="000002F4"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Cod</w:t>
            </w:r>
          </w:p>
        </w:tc>
        <w:tc>
          <w:tcPr>
            <w:tcW w:w="1920" w:type="dxa"/>
            <w:vAlign w:val="center"/>
          </w:tcPr>
          <w:p w14:paraId="000002F5" w14:textId="77777777" w:rsidR="00C62A9B" w:rsidRPr="000D1EF3" w:rsidRDefault="00D11CD4" w:rsidP="009066F9">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Cuantum orientativ (EUR)</w:t>
            </w:r>
          </w:p>
        </w:tc>
      </w:tr>
      <w:tr w:rsidR="00C62A9B" w:rsidRPr="000D1EF3" w14:paraId="2CE551FB" w14:textId="77777777" w:rsidTr="009066F9">
        <w:tc>
          <w:tcPr>
            <w:tcW w:w="750" w:type="dxa"/>
            <w:vAlign w:val="center"/>
          </w:tcPr>
          <w:p w14:paraId="000002F6"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2F7" w14:textId="76072420"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Îmbunătă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irea procesului de prelucrare a cererilor de viză</w:t>
            </w:r>
          </w:p>
        </w:tc>
        <w:tc>
          <w:tcPr>
            <w:tcW w:w="690" w:type="dxa"/>
            <w:vAlign w:val="center"/>
          </w:tcPr>
          <w:p w14:paraId="000002F8"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001</w:t>
            </w:r>
          </w:p>
        </w:tc>
        <w:tc>
          <w:tcPr>
            <w:tcW w:w="1920" w:type="dxa"/>
            <w:tcMar>
              <w:top w:w="0" w:type="dxa"/>
              <w:left w:w="40" w:type="dxa"/>
              <w:bottom w:w="0" w:type="dxa"/>
              <w:right w:w="40" w:type="dxa"/>
            </w:tcMar>
            <w:vAlign w:val="center"/>
          </w:tcPr>
          <w:p w14:paraId="000002F9"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1.750.000</w:t>
            </w:r>
          </w:p>
        </w:tc>
      </w:tr>
      <w:tr w:rsidR="00C62A9B" w:rsidRPr="000D1EF3" w14:paraId="7486D4F6" w14:textId="77777777" w:rsidTr="009066F9">
        <w:tc>
          <w:tcPr>
            <w:tcW w:w="750" w:type="dxa"/>
            <w:vAlign w:val="center"/>
          </w:tcPr>
          <w:p w14:paraId="000002FA"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2FB" w14:textId="267CD241"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Îmbunătă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irea eficacită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a adaptării la nevoile solicitan</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ilor și a securită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în cadrul consulatelor</w:t>
            </w:r>
          </w:p>
        </w:tc>
        <w:tc>
          <w:tcPr>
            <w:tcW w:w="690" w:type="dxa"/>
            <w:vAlign w:val="center"/>
          </w:tcPr>
          <w:p w14:paraId="000002FC"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002</w:t>
            </w:r>
          </w:p>
        </w:tc>
        <w:tc>
          <w:tcPr>
            <w:tcW w:w="1920" w:type="dxa"/>
            <w:tcMar>
              <w:top w:w="0" w:type="dxa"/>
              <w:left w:w="40" w:type="dxa"/>
              <w:bottom w:w="0" w:type="dxa"/>
              <w:right w:w="40" w:type="dxa"/>
            </w:tcMar>
            <w:vAlign w:val="center"/>
          </w:tcPr>
          <w:p w14:paraId="000002FD"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2.500.000</w:t>
            </w:r>
          </w:p>
        </w:tc>
      </w:tr>
      <w:tr w:rsidR="00C62A9B" w:rsidRPr="000D1EF3" w14:paraId="73A4C5D8" w14:textId="77777777" w:rsidTr="009066F9">
        <w:trPr>
          <w:trHeight w:val="462"/>
        </w:trPr>
        <w:tc>
          <w:tcPr>
            <w:tcW w:w="750" w:type="dxa"/>
            <w:vAlign w:val="center"/>
          </w:tcPr>
          <w:p w14:paraId="000002FE"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2FF" w14:textId="77777777"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Securitatea documentelor/consilieri în materie de documente</w:t>
            </w:r>
          </w:p>
        </w:tc>
        <w:tc>
          <w:tcPr>
            <w:tcW w:w="690" w:type="dxa"/>
            <w:vAlign w:val="center"/>
          </w:tcPr>
          <w:p w14:paraId="00000300"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003</w:t>
            </w:r>
          </w:p>
          <w:p w14:paraId="00000301" w14:textId="77777777" w:rsidR="00C62A9B" w:rsidRPr="000D1EF3" w:rsidRDefault="00C62A9B" w:rsidP="009066F9">
            <w:pPr>
              <w:rPr>
                <w:rFonts w:asciiTheme="majorHAnsi" w:hAnsiTheme="majorHAnsi" w:cstheme="majorHAnsi"/>
                <w:sz w:val="24"/>
                <w:szCs w:val="24"/>
              </w:rPr>
            </w:pPr>
          </w:p>
        </w:tc>
        <w:tc>
          <w:tcPr>
            <w:tcW w:w="1920" w:type="dxa"/>
            <w:tcMar>
              <w:top w:w="0" w:type="dxa"/>
              <w:left w:w="40" w:type="dxa"/>
              <w:bottom w:w="0" w:type="dxa"/>
              <w:right w:w="40" w:type="dxa"/>
            </w:tcMar>
            <w:vAlign w:val="center"/>
          </w:tcPr>
          <w:p w14:paraId="00000302"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1346DFA4" w14:textId="77777777" w:rsidTr="009066F9">
        <w:tc>
          <w:tcPr>
            <w:tcW w:w="750" w:type="dxa"/>
            <w:vAlign w:val="center"/>
          </w:tcPr>
          <w:p w14:paraId="00000303"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04"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Cooperare consulară</w:t>
            </w:r>
          </w:p>
        </w:tc>
        <w:tc>
          <w:tcPr>
            <w:tcW w:w="690" w:type="dxa"/>
            <w:vAlign w:val="center"/>
          </w:tcPr>
          <w:p w14:paraId="00000305"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004</w:t>
            </w:r>
          </w:p>
        </w:tc>
        <w:tc>
          <w:tcPr>
            <w:tcW w:w="1920" w:type="dxa"/>
            <w:tcMar>
              <w:top w:w="0" w:type="dxa"/>
              <w:left w:w="40" w:type="dxa"/>
              <w:bottom w:w="0" w:type="dxa"/>
              <w:right w:w="40" w:type="dxa"/>
            </w:tcMar>
            <w:vAlign w:val="center"/>
          </w:tcPr>
          <w:p w14:paraId="00000306"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200.000</w:t>
            </w:r>
          </w:p>
        </w:tc>
      </w:tr>
      <w:tr w:rsidR="00C62A9B" w:rsidRPr="000D1EF3" w14:paraId="20FE46E9" w14:textId="77777777" w:rsidTr="009066F9">
        <w:trPr>
          <w:trHeight w:val="59"/>
        </w:trPr>
        <w:tc>
          <w:tcPr>
            <w:tcW w:w="750" w:type="dxa"/>
            <w:vAlign w:val="center"/>
          </w:tcPr>
          <w:p w14:paraId="00000307"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08" w14:textId="77777777"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Acoperire consulară</w:t>
            </w:r>
          </w:p>
        </w:tc>
        <w:tc>
          <w:tcPr>
            <w:tcW w:w="690" w:type="dxa"/>
            <w:vAlign w:val="center"/>
          </w:tcPr>
          <w:p w14:paraId="00000309"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005</w:t>
            </w:r>
          </w:p>
        </w:tc>
        <w:tc>
          <w:tcPr>
            <w:tcW w:w="1920" w:type="dxa"/>
            <w:tcMar>
              <w:top w:w="0" w:type="dxa"/>
              <w:left w:w="40" w:type="dxa"/>
              <w:bottom w:w="0" w:type="dxa"/>
              <w:right w:w="40" w:type="dxa"/>
            </w:tcMar>
            <w:vAlign w:val="center"/>
          </w:tcPr>
          <w:p w14:paraId="0000030A"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55F31230" w14:textId="77777777" w:rsidTr="009066F9">
        <w:tc>
          <w:tcPr>
            <w:tcW w:w="750" w:type="dxa"/>
            <w:vAlign w:val="center"/>
          </w:tcPr>
          <w:p w14:paraId="0000030B"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0C" w14:textId="5569C31F"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Sisteme informatice la scară largă – Sistemul de informa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privind vizele (VIS)</w:t>
            </w:r>
          </w:p>
        </w:tc>
        <w:tc>
          <w:tcPr>
            <w:tcW w:w="690" w:type="dxa"/>
            <w:vAlign w:val="center"/>
          </w:tcPr>
          <w:p w14:paraId="0000030D"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006</w:t>
            </w:r>
          </w:p>
        </w:tc>
        <w:tc>
          <w:tcPr>
            <w:tcW w:w="1920" w:type="dxa"/>
            <w:tcMar>
              <w:top w:w="0" w:type="dxa"/>
              <w:left w:w="40" w:type="dxa"/>
              <w:bottom w:w="0" w:type="dxa"/>
              <w:right w:w="40" w:type="dxa"/>
            </w:tcMar>
            <w:vAlign w:val="center"/>
          </w:tcPr>
          <w:p w14:paraId="0000030E"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1.000.000</w:t>
            </w:r>
          </w:p>
        </w:tc>
      </w:tr>
      <w:tr w:rsidR="00C62A9B" w:rsidRPr="000D1EF3" w14:paraId="690DA875" w14:textId="77777777" w:rsidTr="009066F9">
        <w:tc>
          <w:tcPr>
            <w:tcW w:w="750" w:type="dxa"/>
            <w:vAlign w:val="center"/>
          </w:tcPr>
          <w:p w14:paraId="0000030F"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10"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Alte sisteme TIC în scopul prelucrării cererilor de viză</w:t>
            </w:r>
          </w:p>
        </w:tc>
        <w:tc>
          <w:tcPr>
            <w:tcW w:w="690" w:type="dxa"/>
            <w:vAlign w:val="center"/>
          </w:tcPr>
          <w:p w14:paraId="00000311"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007</w:t>
            </w:r>
          </w:p>
        </w:tc>
        <w:tc>
          <w:tcPr>
            <w:tcW w:w="1920" w:type="dxa"/>
            <w:tcMar>
              <w:top w:w="0" w:type="dxa"/>
              <w:left w:w="40" w:type="dxa"/>
              <w:bottom w:w="0" w:type="dxa"/>
              <w:right w:w="40" w:type="dxa"/>
            </w:tcMar>
            <w:vAlign w:val="center"/>
          </w:tcPr>
          <w:p w14:paraId="00000312"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3.807.210</w:t>
            </w:r>
          </w:p>
        </w:tc>
      </w:tr>
      <w:tr w:rsidR="00C62A9B" w:rsidRPr="000D1EF3" w14:paraId="4C04755B" w14:textId="77777777" w:rsidTr="009066F9">
        <w:tc>
          <w:tcPr>
            <w:tcW w:w="750" w:type="dxa"/>
            <w:vAlign w:val="center"/>
          </w:tcPr>
          <w:p w14:paraId="00000313"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14" w14:textId="29FC63FE"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Sprijin opera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 - Politica comună a vizelor</w:t>
            </w:r>
          </w:p>
        </w:tc>
        <w:tc>
          <w:tcPr>
            <w:tcW w:w="690" w:type="dxa"/>
            <w:vAlign w:val="center"/>
          </w:tcPr>
          <w:p w14:paraId="00000315"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008</w:t>
            </w:r>
          </w:p>
        </w:tc>
        <w:tc>
          <w:tcPr>
            <w:tcW w:w="1920" w:type="dxa"/>
            <w:tcMar>
              <w:top w:w="0" w:type="dxa"/>
              <w:left w:w="40" w:type="dxa"/>
              <w:bottom w:w="0" w:type="dxa"/>
              <w:right w:w="40" w:type="dxa"/>
            </w:tcMar>
            <w:vAlign w:val="center"/>
          </w:tcPr>
          <w:p w14:paraId="00000316"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300.000</w:t>
            </w:r>
          </w:p>
        </w:tc>
      </w:tr>
      <w:tr w:rsidR="00C62A9B" w:rsidRPr="000D1EF3" w14:paraId="621710A1" w14:textId="77777777" w:rsidTr="009066F9">
        <w:tc>
          <w:tcPr>
            <w:tcW w:w="750" w:type="dxa"/>
            <w:vAlign w:val="center"/>
          </w:tcPr>
          <w:p w14:paraId="00000317"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18" w14:textId="30C432CB"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highlight w:val="white"/>
              </w:rPr>
              <w:t>Sprijin opera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 - Sisteme informatice la scară largă în scopul prelucrării cererilor de viză</w:t>
            </w:r>
          </w:p>
        </w:tc>
        <w:tc>
          <w:tcPr>
            <w:tcW w:w="690" w:type="dxa"/>
            <w:vAlign w:val="center"/>
          </w:tcPr>
          <w:p w14:paraId="00000319"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009</w:t>
            </w:r>
          </w:p>
        </w:tc>
        <w:tc>
          <w:tcPr>
            <w:tcW w:w="1920" w:type="dxa"/>
            <w:tcMar>
              <w:top w:w="0" w:type="dxa"/>
              <w:left w:w="40" w:type="dxa"/>
              <w:bottom w:w="0" w:type="dxa"/>
              <w:right w:w="40" w:type="dxa"/>
            </w:tcMar>
            <w:vAlign w:val="center"/>
          </w:tcPr>
          <w:p w14:paraId="0000031A"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1.500.000</w:t>
            </w:r>
          </w:p>
        </w:tc>
      </w:tr>
      <w:tr w:rsidR="00C62A9B" w:rsidRPr="000D1EF3" w14:paraId="29E5D1E6" w14:textId="77777777" w:rsidTr="009066F9">
        <w:tc>
          <w:tcPr>
            <w:tcW w:w="750" w:type="dxa"/>
            <w:vAlign w:val="center"/>
          </w:tcPr>
          <w:p w14:paraId="0000031B"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1C" w14:textId="5265B4D5"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Sprijin opera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ional – Regimul special de tranzit</w:t>
            </w:r>
          </w:p>
        </w:tc>
        <w:tc>
          <w:tcPr>
            <w:tcW w:w="690" w:type="dxa"/>
            <w:vAlign w:val="center"/>
          </w:tcPr>
          <w:p w14:paraId="0000031D"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010</w:t>
            </w:r>
          </w:p>
        </w:tc>
        <w:tc>
          <w:tcPr>
            <w:tcW w:w="1920" w:type="dxa"/>
            <w:tcMar>
              <w:top w:w="0" w:type="dxa"/>
              <w:left w:w="40" w:type="dxa"/>
              <w:bottom w:w="0" w:type="dxa"/>
              <w:right w:w="40" w:type="dxa"/>
            </w:tcMar>
            <w:vAlign w:val="center"/>
          </w:tcPr>
          <w:p w14:paraId="0000031E"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70B21D1F" w14:textId="77777777" w:rsidTr="009066F9">
        <w:tc>
          <w:tcPr>
            <w:tcW w:w="750" w:type="dxa"/>
            <w:vAlign w:val="center"/>
          </w:tcPr>
          <w:p w14:paraId="0000031F"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20" w14:textId="77777777"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Eliberarea de vize cu valabilitate teritorială limitată</w:t>
            </w:r>
          </w:p>
        </w:tc>
        <w:tc>
          <w:tcPr>
            <w:tcW w:w="690" w:type="dxa"/>
            <w:vAlign w:val="center"/>
          </w:tcPr>
          <w:p w14:paraId="00000321"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011</w:t>
            </w:r>
          </w:p>
        </w:tc>
        <w:tc>
          <w:tcPr>
            <w:tcW w:w="1920" w:type="dxa"/>
            <w:tcMar>
              <w:top w:w="0" w:type="dxa"/>
              <w:left w:w="40" w:type="dxa"/>
              <w:bottom w:w="0" w:type="dxa"/>
              <w:right w:w="40" w:type="dxa"/>
            </w:tcMar>
            <w:vAlign w:val="center"/>
          </w:tcPr>
          <w:p w14:paraId="00000322"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0</w:t>
            </w:r>
          </w:p>
        </w:tc>
      </w:tr>
      <w:tr w:rsidR="00C62A9B" w:rsidRPr="000D1EF3" w14:paraId="7C1433C8" w14:textId="77777777" w:rsidTr="009066F9">
        <w:tc>
          <w:tcPr>
            <w:tcW w:w="750" w:type="dxa"/>
            <w:vAlign w:val="center"/>
          </w:tcPr>
          <w:p w14:paraId="00000323"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2</w:t>
            </w:r>
          </w:p>
        </w:tc>
        <w:tc>
          <w:tcPr>
            <w:tcW w:w="5955" w:type="dxa"/>
            <w:vAlign w:val="center"/>
          </w:tcPr>
          <w:p w14:paraId="00000324" w14:textId="369C7541" w:rsidR="00C62A9B" w:rsidRPr="000D1EF3" w:rsidRDefault="00D11CD4" w:rsidP="009066F9">
            <w:pPr>
              <w:rPr>
                <w:rFonts w:asciiTheme="majorHAnsi" w:hAnsiTheme="majorHAnsi" w:cstheme="majorHAnsi"/>
                <w:sz w:val="24"/>
                <w:szCs w:val="24"/>
                <w:highlight w:val="white"/>
              </w:rPr>
            </w:pPr>
            <w:r w:rsidRPr="000D1EF3">
              <w:rPr>
                <w:rFonts w:asciiTheme="majorHAnsi" w:hAnsiTheme="majorHAnsi" w:cstheme="majorHAnsi"/>
                <w:sz w:val="24"/>
                <w:szCs w:val="24"/>
                <w:highlight w:val="white"/>
              </w:rPr>
              <w:t>Calitatea datelor și dreptul persoanelor vizate la informare, dreptul de acces la datele lor cu caracter personal, de rectificare și de ștergere a acestora și de restric</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ionare a prelucrării acestora</w:t>
            </w:r>
          </w:p>
        </w:tc>
        <w:tc>
          <w:tcPr>
            <w:tcW w:w="690" w:type="dxa"/>
            <w:vAlign w:val="center"/>
          </w:tcPr>
          <w:p w14:paraId="00000325" w14:textId="77777777" w:rsidR="00C62A9B" w:rsidRPr="000D1EF3" w:rsidRDefault="00D11CD4" w:rsidP="009066F9">
            <w:pPr>
              <w:rPr>
                <w:rFonts w:asciiTheme="majorHAnsi" w:hAnsiTheme="majorHAnsi" w:cstheme="majorHAnsi"/>
                <w:sz w:val="24"/>
                <w:szCs w:val="24"/>
              </w:rPr>
            </w:pPr>
            <w:r w:rsidRPr="000D1EF3">
              <w:rPr>
                <w:rFonts w:asciiTheme="majorHAnsi" w:hAnsiTheme="majorHAnsi" w:cstheme="majorHAnsi"/>
                <w:sz w:val="24"/>
                <w:szCs w:val="24"/>
              </w:rPr>
              <w:t>012</w:t>
            </w:r>
          </w:p>
        </w:tc>
        <w:tc>
          <w:tcPr>
            <w:tcW w:w="1920" w:type="dxa"/>
            <w:tcMar>
              <w:top w:w="0" w:type="dxa"/>
              <w:left w:w="40" w:type="dxa"/>
              <w:bottom w:w="0" w:type="dxa"/>
              <w:right w:w="40" w:type="dxa"/>
            </w:tcMar>
            <w:vAlign w:val="center"/>
          </w:tcPr>
          <w:p w14:paraId="00000326" w14:textId="77777777" w:rsidR="00C62A9B" w:rsidRPr="000D1EF3" w:rsidRDefault="00D11CD4" w:rsidP="009066F9">
            <w:pPr>
              <w:widowControl w:val="0"/>
              <w:jc w:val="right"/>
              <w:rPr>
                <w:rFonts w:asciiTheme="majorHAnsi" w:hAnsiTheme="majorHAnsi" w:cstheme="majorHAnsi"/>
                <w:sz w:val="24"/>
                <w:szCs w:val="24"/>
              </w:rPr>
            </w:pPr>
            <w:r w:rsidRPr="000D1EF3">
              <w:rPr>
                <w:rFonts w:asciiTheme="majorHAnsi" w:hAnsiTheme="majorHAnsi" w:cstheme="majorHAnsi"/>
                <w:sz w:val="24"/>
                <w:szCs w:val="24"/>
              </w:rPr>
              <w:t>0</w:t>
            </w:r>
          </w:p>
        </w:tc>
      </w:tr>
    </w:tbl>
    <w:p w14:paraId="00000327" w14:textId="77777777" w:rsidR="00C62A9B" w:rsidRPr="000D1EF3" w:rsidRDefault="00C62A9B">
      <w:pPr>
        <w:spacing w:after="120" w:line="240" w:lineRule="auto"/>
        <w:rPr>
          <w:rFonts w:asciiTheme="majorHAnsi" w:hAnsiTheme="majorHAnsi" w:cstheme="majorHAnsi"/>
          <w:color w:val="FF0000"/>
          <w:sz w:val="24"/>
          <w:szCs w:val="24"/>
        </w:rPr>
      </w:pPr>
    </w:p>
    <w:p w14:paraId="0000032A" w14:textId="77777777" w:rsidR="00C62A9B" w:rsidRPr="000D1EF3" w:rsidRDefault="00C62A9B">
      <w:pPr>
        <w:spacing w:after="120" w:line="240" w:lineRule="auto"/>
        <w:rPr>
          <w:rFonts w:asciiTheme="majorHAnsi" w:hAnsiTheme="majorHAnsi" w:cstheme="majorHAnsi"/>
          <w:color w:val="FF0000"/>
          <w:sz w:val="24"/>
          <w:szCs w:val="24"/>
        </w:rPr>
      </w:pPr>
    </w:p>
    <w:p w14:paraId="0000032B" w14:textId="78C844E6" w:rsidR="00C62A9B" w:rsidRPr="000D1EF3" w:rsidRDefault="00D11CD4" w:rsidP="00E43440">
      <w:pPr>
        <w:pStyle w:val="Heading1"/>
      </w:pPr>
      <w:bookmarkStart w:id="32" w:name="_Toc78795678"/>
      <w:r w:rsidRPr="000D1EF3">
        <w:rPr>
          <w:i/>
        </w:rPr>
        <w:t>2.2</w:t>
      </w:r>
      <w:r w:rsidRPr="000D1EF3">
        <w:t xml:space="preserve"> Asisten</w:t>
      </w:r>
      <w:r w:rsidR="00812FFF" w:rsidRPr="000D1EF3">
        <w:t>ț</w:t>
      </w:r>
      <w:r w:rsidRPr="000D1EF3">
        <w:t>ă tehnică</w:t>
      </w:r>
      <w:bookmarkEnd w:id="32"/>
      <w:r w:rsidRPr="000D1EF3">
        <w:t xml:space="preserve"> </w:t>
      </w:r>
    </w:p>
    <w:p w14:paraId="0000032C" w14:textId="77777777" w:rsidR="00C62A9B" w:rsidRPr="000D1EF3" w:rsidRDefault="00D11CD4">
      <w:pPr>
        <w:pBdr>
          <w:top w:val="nil"/>
          <w:left w:val="nil"/>
          <w:bottom w:val="nil"/>
          <w:right w:val="nil"/>
          <w:between w:val="nil"/>
        </w:pBd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2.2.1 Descrierea</w:t>
      </w:r>
    </w:p>
    <w:p w14:paraId="0000032D" w14:textId="77777777" w:rsidR="00C62A9B" w:rsidRPr="009066F9" w:rsidRDefault="00D11CD4">
      <w:pPr>
        <w:spacing w:after="120" w:line="240" w:lineRule="auto"/>
        <w:rPr>
          <w:rFonts w:asciiTheme="majorHAnsi" w:hAnsiTheme="majorHAnsi" w:cstheme="majorHAnsi"/>
          <w:b/>
          <w:i/>
        </w:rPr>
      </w:pPr>
      <w:r w:rsidRPr="009066F9">
        <w:rPr>
          <w:rFonts w:asciiTheme="majorHAnsi" w:hAnsiTheme="majorHAnsi" w:cstheme="majorHAnsi"/>
          <w:i/>
        </w:rPr>
        <w:t>Trimitere: articolul 22 alineatul (3) litera (f), articolul 36 alineatul (5), articolul 37 și articolul 95 din RDC</w:t>
      </w:r>
    </w:p>
    <w:tbl>
      <w:tblPr>
        <w:tblStyle w:val="a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C62A9B" w:rsidRPr="000D1EF3" w14:paraId="2E1373DF" w14:textId="77777777">
        <w:tc>
          <w:tcPr>
            <w:tcW w:w="9288" w:type="dxa"/>
          </w:tcPr>
          <w:p w14:paraId="0000032E" w14:textId="7C0F9FFA"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RO va utiliza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 tehnică, rambursată în baza articolului 36 alin (5) </w:t>
            </w:r>
            <w:proofErr w:type="spellStart"/>
            <w:r w:rsidRPr="000D1EF3">
              <w:rPr>
                <w:rFonts w:asciiTheme="majorHAnsi" w:hAnsiTheme="majorHAnsi" w:cstheme="majorHAnsi"/>
                <w:sz w:val="24"/>
                <w:szCs w:val="24"/>
              </w:rPr>
              <w:t>lit</w:t>
            </w:r>
            <w:proofErr w:type="spellEnd"/>
            <w:r w:rsidRPr="000D1EF3">
              <w:rPr>
                <w:rFonts w:asciiTheme="majorHAnsi" w:hAnsiTheme="majorHAnsi" w:cstheme="majorHAnsi"/>
                <w:sz w:val="24"/>
                <w:szCs w:val="24"/>
              </w:rPr>
              <w:t xml:space="preserve"> (b) pct. (vi) RDC, respectiv rambursarea se efectuează prin aplicarea unui procent de 6% la cheltuielile eligibile incluse în fiecare cerere de plată.</w:t>
            </w:r>
          </w:p>
          <w:p w14:paraId="0000032F" w14:textId="00653A00"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tehnică va fi utilizată pentru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măsuri și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pentru implementarea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a cerin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elor și prevederilor RDC și a regulamentelor specifice, în special pentru:</w:t>
            </w:r>
          </w:p>
          <w:p w14:paraId="00000330" w14:textId="41EFD543"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dezvoltarea și mentenan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sistemului de comunicare electronică cu beneficiarii și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din cadrul Sistemului de Management și Control și a altor aplica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sisteme necesare pentru managementul, controlul și implementarea programelor, inclusiv instalarea, actualizarea,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și interconectarea acestor sisteme;</w:t>
            </w:r>
          </w:p>
          <w:p w14:paraId="00000331" w14:textId="3E6CBCBC"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lastRenderedPageBreak/>
              <w:t>- îmbunătă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irea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și organismelor programului legate de pregătirea, implementarea, monitorizarea, raportarea, controlul și auditul programelor și proiectelor;</w:t>
            </w:r>
          </w:p>
          <w:p w14:paraId="00000332" w14:textId="68952F01"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și cheltuieli aferente capitalului uman,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pregătire și perfec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 costuri salariale aferente personalului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și organismelor programului, inclusiv conferin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 </w:t>
            </w:r>
            <w:proofErr w:type="spellStart"/>
            <w:r w:rsidRPr="000D1EF3">
              <w:rPr>
                <w:rFonts w:asciiTheme="majorHAnsi" w:hAnsiTheme="majorHAnsi" w:cstheme="majorHAnsi"/>
                <w:sz w:val="24"/>
                <w:szCs w:val="24"/>
              </w:rPr>
              <w:t>seminarii</w:t>
            </w:r>
            <w:proofErr w:type="spellEnd"/>
            <w:r w:rsidRPr="000D1EF3">
              <w:rPr>
                <w:rFonts w:asciiTheme="majorHAnsi" w:hAnsiTheme="majorHAnsi" w:cstheme="majorHAnsi"/>
                <w:sz w:val="24"/>
                <w:szCs w:val="24"/>
              </w:rPr>
              <w:t>, ateliere și alte măsuri comune în materie de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și formare; </w:t>
            </w:r>
          </w:p>
          <w:p w14:paraId="00000333" w14:textId="7A93138D"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costuri privind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și dotarea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și organismelor programelor, inclusiv servicii, utilită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echipamente, închirieri bunuri mobile/ imobile;</w:t>
            </w:r>
          </w:p>
          <w:p w14:paraId="00000334" w14:textId="1C6836BA"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informare și pentru asigurarea vizibilită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ărilor,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 îndrumarea și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de conștientizare, inclusiv campanii de promovare, servicii media și rela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w:t>
            </w:r>
          </w:p>
          <w:p w14:paraId="00000335" w14:textId="328B90D6"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evaluare și studii, analize, culegere de date, expertize,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administrativă și tehnică necesare pentru implementarea programelor, evaluarea, selec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și gestionarea proiectelor</w:t>
            </w:r>
          </w:p>
          <w:p w14:paraId="00000336" w14:textId="68DF24F1"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 consolidarea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și a capacită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administrative a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și organismelor programului, beneficiarilor și partenerilor relevan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inclusiv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de reducere a sarcinii administrative și de creștere a digitalizării</w:t>
            </w:r>
          </w:p>
          <w:p w14:paraId="00000337" w14:textId="77777777" w:rsidR="00C62A9B" w:rsidRPr="000D1EF3" w:rsidRDefault="00C62A9B">
            <w:pPr>
              <w:ind w:left="57" w:right="57"/>
              <w:jc w:val="both"/>
              <w:rPr>
                <w:rFonts w:asciiTheme="majorHAnsi" w:hAnsiTheme="majorHAnsi" w:cstheme="majorHAnsi"/>
                <w:sz w:val="24"/>
                <w:szCs w:val="24"/>
              </w:rPr>
            </w:pPr>
          </w:p>
          <w:p w14:paraId="00000338" w14:textId="15ACF83A" w:rsidR="00C62A9B" w:rsidRPr="000D1EF3" w:rsidRDefault="00D11CD4">
            <w:pPr>
              <w:ind w:left="57" w:right="57"/>
              <w:jc w:val="both"/>
              <w:rPr>
                <w:rFonts w:asciiTheme="majorHAnsi" w:hAnsiTheme="majorHAnsi" w:cstheme="majorHAnsi"/>
                <w:sz w:val="24"/>
                <w:szCs w:val="24"/>
              </w:rPr>
            </w:pPr>
            <w:r w:rsidRPr="000D1EF3">
              <w:rPr>
                <w:rFonts w:asciiTheme="majorHAnsi" w:hAnsiTheme="majorHAnsi" w:cstheme="majorHAnsi"/>
                <w:sz w:val="24"/>
                <w:szCs w:val="24"/>
              </w:rPr>
              <w:t>Măsurile și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vor avea în vedere inclusiv cadrele financiare precedente și ulterioare.  Având în vedere faptul că unele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ale programelor sunt comune pentru două sau mai multe dintre programele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cheltuielile aferente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tehnice pentru fiecare program vor fi fuzionate par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 sau integral.</w:t>
            </w:r>
          </w:p>
        </w:tc>
      </w:tr>
      <w:tr w:rsidR="00C62A9B" w:rsidRPr="000D1EF3" w14:paraId="3B51015D" w14:textId="77777777">
        <w:tc>
          <w:tcPr>
            <w:tcW w:w="9288" w:type="dxa"/>
          </w:tcPr>
          <w:p w14:paraId="00000339" w14:textId="569CBE96"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lastRenderedPageBreak/>
              <w:t>Deocamdată, RO nu își propune să întreprindă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de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tehnică, în plus fa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de articolul 36, care să fie implementate prin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 nelegate de costuri în conformitate cu articolul 95 RDC.</w:t>
            </w:r>
          </w:p>
          <w:p w14:paraId="0000033A" w14:textId="77777777" w:rsidR="00C62A9B" w:rsidRPr="000D1EF3" w:rsidRDefault="00C62A9B">
            <w:pPr>
              <w:ind w:left="57" w:right="57"/>
              <w:rPr>
                <w:rFonts w:asciiTheme="majorHAnsi" w:hAnsiTheme="majorHAnsi" w:cstheme="majorHAnsi"/>
                <w:sz w:val="24"/>
                <w:szCs w:val="24"/>
              </w:rPr>
            </w:pPr>
          </w:p>
        </w:tc>
      </w:tr>
    </w:tbl>
    <w:p w14:paraId="0000033B" w14:textId="77777777" w:rsidR="00C62A9B" w:rsidRPr="000D1EF3" w:rsidRDefault="00C62A9B">
      <w:pPr>
        <w:spacing w:after="120" w:line="240" w:lineRule="auto"/>
        <w:rPr>
          <w:rFonts w:asciiTheme="majorHAnsi" w:hAnsiTheme="majorHAnsi" w:cstheme="majorHAnsi"/>
          <w:b/>
          <w:sz w:val="24"/>
          <w:szCs w:val="24"/>
        </w:rPr>
      </w:pPr>
    </w:p>
    <w:p w14:paraId="0000033C" w14:textId="33B23E8A"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2.2.2.Defalcare orientativă a asisten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ei tehnice în temeiul articolului 36 alineatul (5) și al articolului 37 din RDC</w:t>
      </w:r>
    </w:p>
    <w:p w14:paraId="0000033D" w14:textId="77777777"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4: Defalcare orientativă</w:t>
      </w:r>
    </w:p>
    <w:tbl>
      <w:tblPr>
        <w:tblStyle w:val="a9"/>
        <w:tblW w:w="9322" w:type="dxa"/>
        <w:tblInd w:w="-3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tblLayout w:type="fixed"/>
        <w:tblCellMar>
          <w:top w:w="11" w:type="dxa"/>
          <w:left w:w="57" w:type="dxa"/>
          <w:right w:w="57" w:type="dxa"/>
        </w:tblCellMar>
        <w:tblLook w:val="0400" w:firstRow="0" w:lastRow="0" w:firstColumn="0" w:lastColumn="0" w:noHBand="0" w:noVBand="1"/>
      </w:tblPr>
      <w:tblGrid>
        <w:gridCol w:w="4253"/>
        <w:gridCol w:w="1134"/>
        <w:gridCol w:w="3935"/>
      </w:tblGrid>
      <w:tr w:rsidR="00C62A9B" w:rsidRPr="000D1EF3" w14:paraId="2DAE0DF9" w14:textId="77777777" w:rsidTr="000D1EF3">
        <w:tc>
          <w:tcPr>
            <w:tcW w:w="4253" w:type="dxa"/>
          </w:tcPr>
          <w:p w14:paraId="0000033E" w14:textId="5F9ECC96" w:rsidR="00C62A9B" w:rsidRPr="000D1EF3" w:rsidRDefault="00D11CD4" w:rsidP="000D1EF3">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Tip de interven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ie </w:t>
            </w:r>
          </w:p>
        </w:tc>
        <w:tc>
          <w:tcPr>
            <w:tcW w:w="1134" w:type="dxa"/>
          </w:tcPr>
          <w:p w14:paraId="0000033F" w14:textId="77777777" w:rsidR="00C62A9B" w:rsidRPr="000D1EF3" w:rsidRDefault="00D11CD4" w:rsidP="000D1EF3">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 xml:space="preserve">Cod </w:t>
            </w:r>
          </w:p>
        </w:tc>
        <w:tc>
          <w:tcPr>
            <w:tcW w:w="3935" w:type="dxa"/>
          </w:tcPr>
          <w:p w14:paraId="00000340" w14:textId="77777777" w:rsidR="00C62A9B" w:rsidRPr="000D1EF3" w:rsidRDefault="00D11CD4" w:rsidP="000D1EF3">
            <w:pPr>
              <w:pBdr>
                <w:top w:val="nil"/>
                <w:left w:val="nil"/>
                <w:bottom w:val="nil"/>
                <w:right w:val="nil"/>
                <w:between w:val="nil"/>
              </w:pBdr>
              <w:rPr>
                <w:rFonts w:asciiTheme="majorHAnsi" w:hAnsiTheme="majorHAnsi" w:cstheme="majorHAnsi"/>
                <w:b/>
                <w:sz w:val="24"/>
                <w:szCs w:val="24"/>
              </w:rPr>
            </w:pPr>
            <w:r w:rsidRPr="000D1EF3">
              <w:rPr>
                <w:rFonts w:asciiTheme="majorHAnsi" w:hAnsiTheme="majorHAnsi" w:cstheme="majorHAnsi"/>
                <w:b/>
                <w:sz w:val="24"/>
                <w:szCs w:val="24"/>
              </w:rPr>
              <w:t>Cuantum orientativ (EUR)</w:t>
            </w:r>
          </w:p>
        </w:tc>
      </w:tr>
      <w:tr w:rsidR="00C62A9B" w:rsidRPr="000D1EF3" w14:paraId="095AE459" w14:textId="77777777" w:rsidTr="000D1EF3">
        <w:tc>
          <w:tcPr>
            <w:tcW w:w="4253" w:type="dxa"/>
          </w:tcPr>
          <w:p w14:paraId="00000341" w14:textId="265A7828"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highlight w:val="white"/>
              </w:rPr>
              <w:t>Informa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 și comunica</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ii</w:t>
            </w:r>
          </w:p>
        </w:tc>
        <w:tc>
          <w:tcPr>
            <w:tcW w:w="1134" w:type="dxa"/>
          </w:tcPr>
          <w:p w14:paraId="00000342"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001</w:t>
            </w:r>
          </w:p>
        </w:tc>
        <w:tc>
          <w:tcPr>
            <w:tcW w:w="3935"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43" w14:textId="77777777" w:rsidR="00C62A9B" w:rsidRPr="000D1EF3" w:rsidRDefault="00D11CD4" w:rsidP="000D1EF3">
            <w:pPr>
              <w:widowControl w:val="0"/>
              <w:jc w:val="right"/>
              <w:rPr>
                <w:rFonts w:asciiTheme="majorHAnsi" w:hAnsiTheme="majorHAnsi" w:cstheme="majorHAnsi"/>
                <w:sz w:val="24"/>
                <w:szCs w:val="24"/>
              </w:rPr>
            </w:pPr>
            <w:r w:rsidRPr="000D1EF3">
              <w:rPr>
                <w:rFonts w:asciiTheme="majorHAnsi" w:hAnsiTheme="majorHAnsi" w:cstheme="majorHAnsi"/>
                <w:sz w:val="24"/>
                <w:szCs w:val="24"/>
              </w:rPr>
              <w:t>1.800.000</w:t>
            </w:r>
          </w:p>
        </w:tc>
      </w:tr>
      <w:tr w:rsidR="00C62A9B" w:rsidRPr="000D1EF3" w14:paraId="7EF6EA78" w14:textId="77777777" w:rsidTr="000D1EF3">
        <w:tc>
          <w:tcPr>
            <w:tcW w:w="4253" w:type="dxa"/>
          </w:tcPr>
          <w:p w14:paraId="00000344"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highlight w:val="white"/>
              </w:rPr>
              <w:t>Pregătire, punere în aplicare, monitorizare și control</w:t>
            </w:r>
          </w:p>
        </w:tc>
        <w:tc>
          <w:tcPr>
            <w:tcW w:w="1134" w:type="dxa"/>
          </w:tcPr>
          <w:p w14:paraId="00000345"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002</w:t>
            </w:r>
          </w:p>
        </w:tc>
        <w:tc>
          <w:tcPr>
            <w:tcW w:w="3935"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46" w14:textId="77777777" w:rsidR="00C62A9B" w:rsidRPr="000D1EF3" w:rsidRDefault="00D11CD4" w:rsidP="000D1EF3">
            <w:pPr>
              <w:widowControl w:val="0"/>
              <w:jc w:val="right"/>
              <w:rPr>
                <w:rFonts w:asciiTheme="majorHAnsi" w:hAnsiTheme="majorHAnsi" w:cstheme="majorHAnsi"/>
                <w:sz w:val="24"/>
                <w:szCs w:val="24"/>
              </w:rPr>
            </w:pPr>
            <w:r w:rsidRPr="000D1EF3">
              <w:rPr>
                <w:rFonts w:asciiTheme="majorHAnsi" w:hAnsiTheme="majorHAnsi" w:cstheme="majorHAnsi"/>
                <w:sz w:val="24"/>
                <w:szCs w:val="24"/>
              </w:rPr>
              <w:t>1.200.000</w:t>
            </w:r>
          </w:p>
        </w:tc>
      </w:tr>
      <w:tr w:rsidR="00C62A9B" w:rsidRPr="000D1EF3" w14:paraId="618DEA03" w14:textId="77777777" w:rsidTr="000D1EF3">
        <w:tc>
          <w:tcPr>
            <w:tcW w:w="4253" w:type="dxa"/>
          </w:tcPr>
          <w:p w14:paraId="00000347"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highlight w:val="white"/>
              </w:rPr>
              <w:t>Evaluare și studii, culegere de date</w:t>
            </w:r>
          </w:p>
        </w:tc>
        <w:tc>
          <w:tcPr>
            <w:tcW w:w="1134" w:type="dxa"/>
          </w:tcPr>
          <w:p w14:paraId="00000348"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003</w:t>
            </w:r>
          </w:p>
        </w:tc>
        <w:tc>
          <w:tcPr>
            <w:tcW w:w="3935"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49" w14:textId="77777777" w:rsidR="00C62A9B" w:rsidRPr="000D1EF3" w:rsidRDefault="00D11CD4" w:rsidP="000D1EF3">
            <w:pPr>
              <w:widowControl w:val="0"/>
              <w:jc w:val="right"/>
              <w:rPr>
                <w:rFonts w:asciiTheme="majorHAnsi" w:hAnsiTheme="majorHAnsi" w:cstheme="majorHAnsi"/>
                <w:sz w:val="24"/>
                <w:szCs w:val="24"/>
              </w:rPr>
            </w:pPr>
            <w:r w:rsidRPr="000D1EF3">
              <w:rPr>
                <w:rFonts w:asciiTheme="majorHAnsi" w:hAnsiTheme="majorHAnsi" w:cstheme="majorHAnsi"/>
                <w:sz w:val="24"/>
                <w:szCs w:val="24"/>
              </w:rPr>
              <w:t>600.000</w:t>
            </w:r>
          </w:p>
        </w:tc>
      </w:tr>
      <w:tr w:rsidR="00C62A9B" w:rsidRPr="000D1EF3" w14:paraId="1C576F00" w14:textId="77777777" w:rsidTr="000D1EF3">
        <w:tc>
          <w:tcPr>
            <w:tcW w:w="4253" w:type="dxa"/>
          </w:tcPr>
          <w:p w14:paraId="0000034A" w14:textId="2A4DD916"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highlight w:val="white"/>
              </w:rPr>
              <w:t>Consolidarea capacită</w:t>
            </w:r>
            <w:r w:rsidR="00812FFF" w:rsidRPr="000D1EF3">
              <w:rPr>
                <w:rFonts w:asciiTheme="majorHAnsi" w:hAnsiTheme="majorHAnsi" w:cstheme="majorHAnsi"/>
                <w:sz w:val="24"/>
                <w:szCs w:val="24"/>
                <w:highlight w:val="white"/>
              </w:rPr>
              <w:t>ț</w:t>
            </w:r>
            <w:r w:rsidRPr="000D1EF3">
              <w:rPr>
                <w:rFonts w:asciiTheme="majorHAnsi" w:hAnsiTheme="majorHAnsi" w:cstheme="majorHAnsi"/>
                <w:sz w:val="24"/>
                <w:szCs w:val="24"/>
                <w:highlight w:val="white"/>
              </w:rPr>
              <w:t>ilor</w:t>
            </w:r>
          </w:p>
        </w:tc>
        <w:tc>
          <w:tcPr>
            <w:tcW w:w="1134" w:type="dxa"/>
          </w:tcPr>
          <w:p w14:paraId="0000034B" w14:textId="77777777" w:rsidR="00C62A9B" w:rsidRPr="000D1EF3" w:rsidRDefault="00D11CD4" w:rsidP="000D1EF3">
            <w:pPr>
              <w:rPr>
                <w:rFonts w:asciiTheme="majorHAnsi" w:hAnsiTheme="majorHAnsi" w:cstheme="majorHAnsi"/>
                <w:sz w:val="24"/>
                <w:szCs w:val="24"/>
              </w:rPr>
            </w:pPr>
            <w:r w:rsidRPr="000D1EF3">
              <w:rPr>
                <w:rFonts w:asciiTheme="majorHAnsi" w:hAnsiTheme="majorHAnsi" w:cstheme="majorHAnsi"/>
                <w:sz w:val="24"/>
                <w:szCs w:val="24"/>
              </w:rPr>
              <w:t>004</w:t>
            </w:r>
          </w:p>
        </w:tc>
        <w:tc>
          <w:tcPr>
            <w:tcW w:w="3935" w:type="dxa"/>
            <w:tcBorders>
              <w:top w:val="single" w:sz="4" w:space="0" w:color="434343"/>
              <w:left w:val="single" w:sz="4" w:space="0" w:color="434343"/>
              <w:bottom w:val="single" w:sz="4" w:space="0" w:color="434343"/>
              <w:right w:val="single" w:sz="4" w:space="0" w:color="434343"/>
            </w:tcBorders>
            <w:tcMar>
              <w:top w:w="0" w:type="dxa"/>
              <w:left w:w="40" w:type="dxa"/>
              <w:bottom w:w="0" w:type="dxa"/>
              <w:right w:w="40" w:type="dxa"/>
            </w:tcMar>
            <w:vAlign w:val="center"/>
          </w:tcPr>
          <w:p w14:paraId="0000034C" w14:textId="77777777" w:rsidR="00C62A9B" w:rsidRPr="000D1EF3" w:rsidRDefault="00D11CD4" w:rsidP="000D1EF3">
            <w:pPr>
              <w:widowControl w:val="0"/>
              <w:jc w:val="right"/>
              <w:rPr>
                <w:rFonts w:asciiTheme="majorHAnsi" w:hAnsiTheme="majorHAnsi" w:cstheme="majorHAnsi"/>
                <w:sz w:val="24"/>
                <w:szCs w:val="24"/>
              </w:rPr>
            </w:pPr>
            <w:r w:rsidRPr="000D1EF3">
              <w:rPr>
                <w:rFonts w:asciiTheme="majorHAnsi" w:hAnsiTheme="majorHAnsi" w:cstheme="majorHAnsi"/>
                <w:sz w:val="24"/>
                <w:szCs w:val="24"/>
              </w:rPr>
              <w:t>2.601.436</w:t>
            </w:r>
          </w:p>
        </w:tc>
      </w:tr>
    </w:tbl>
    <w:p w14:paraId="0000034D" w14:textId="77777777" w:rsidR="00C62A9B" w:rsidRPr="000D1EF3" w:rsidRDefault="00C62A9B">
      <w:pPr>
        <w:spacing w:after="120" w:line="240" w:lineRule="auto"/>
        <w:rPr>
          <w:rFonts w:asciiTheme="majorHAnsi" w:hAnsiTheme="majorHAnsi" w:cstheme="majorHAnsi"/>
          <w:b/>
          <w:sz w:val="24"/>
          <w:szCs w:val="24"/>
        </w:rPr>
        <w:sectPr w:rsidR="00C62A9B" w:rsidRPr="000D1EF3" w:rsidSect="00812FFF">
          <w:pgSz w:w="11907" w:h="16840" w:code="9"/>
          <w:pgMar w:top="567" w:right="1134" w:bottom="567" w:left="1134" w:header="567" w:footer="567" w:gutter="0"/>
          <w:pgNumType w:start="1"/>
          <w:cols w:space="720"/>
        </w:sectPr>
      </w:pPr>
    </w:p>
    <w:p w14:paraId="0000034E" w14:textId="77777777" w:rsidR="00C62A9B" w:rsidRPr="000D1EF3" w:rsidRDefault="00C62A9B">
      <w:pPr>
        <w:spacing w:after="120" w:line="240" w:lineRule="auto"/>
        <w:rPr>
          <w:rFonts w:asciiTheme="majorHAnsi" w:hAnsiTheme="majorHAnsi" w:cstheme="majorHAnsi"/>
          <w:b/>
          <w:sz w:val="24"/>
          <w:szCs w:val="24"/>
        </w:rPr>
      </w:pPr>
    </w:p>
    <w:p w14:paraId="0000034F" w14:textId="690B3B05" w:rsidR="00C62A9B" w:rsidRPr="000D1EF3" w:rsidRDefault="00D11CD4" w:rsidP="00E43440">
      <w:pPr>
        <w:pStyle w:val="Heading1"/>
      </w:pPr>
      <w:bookmarkStart w:id="33" w:name="_Toc78795679"/>
      <w:r w:rsidRPr="000D1EF3">
        <w:t>3. Planul de finan</w:t>
      </w:r>
      <w:r w:rsidR="00812FFF" w:rsidRPr="000D1EF3">
        <w:t>ț</w:t>
      </w:r>
      <w:r w:rsidRPr="000D1EF3">
        <w:t>are</w:t>
      </w:r>
      <w:bookmarkEnd w:id="33"/>
      <w:r w:rsidRPr="000D1EF3">
        <w:t xml:space="preserve"> </w:t>
      </w:r>
    </w:p>
    <w:p w14:paraId="00000350" w14:textId="77777777" w:rsidR="00C62A9B" w:rsidRPr="000D1EF3" w:rsidRDefault="00D11CD4">
      <w:pPr>
        <w:ind w:left="360"/>
        <w:rPr>
          <w:rFonts w:asciiTheme="majorHAnsi" w:hAnsiTheme="majorHAnsi" w:cstheme="majorHAnsi"/>
          <w:i/>
          <w:sz w:val="24"/>
          <w:szCs w:val="24"/>
        </w:rPr>
      </w:pPr>
      <w:r w:rsidRPr="000D1EF3">
        <w:rPr>
          <w:rFonts w:asciiTheme="majorHAnsi" w:hAnsiTheme="majorHAnsi" w:cstheme="majorHAnsi"/>
          <w:i/>
          <w:sz w:val="24"/>
          <w:szCs w:val="24"/>
        </w:rPr>
        <w:t>Trimitere: articolul 22 alineatul (3) litera (g) din RDC</w:t>
      </w:r>
    </w:p>
    <w:p w14:paraId="00000351" w14:textId="77777777" w:rsidR="00C62A9B" w:rsidRPr="000D1EF3" w:rsidRDefault="00D11CD4" w:rsidP="00E43440">
      <w:pPr>
        <w:pStyle w:val="Heading2"/>
      </w:pPr>
      <w:bookmarkStart w:id="34" w:name="_Toc78795680"/>
      <w:r w:rsidRPr="000D1EF3">
        <w:t>3.1. Credite financiare pe an</w:t>
      </w:r>
      <w:bookmarkEnd w:id="34"/>
    </w:p>
    <w:p w14:paraId="00000352" w14:textId="77777777"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5: Credite financiare pe an</w:t>
      </w:r>
    </w:p>
    <w:tbl>
      <w:tblPr>
        <w:tblStyle w:val="a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6"/>
        <w:gridCol w:w="1036"/>
        <w:gridCol w:w="1036"/>
        <w:gridCol w:w="1035"/>
        <w:gridCol w:w="1036"/>
        <w:gridCol w:w="1036"/>
        <w:gridCol w:w="1036"/>
        <w:gridCol w:w="1603"/>
      </w:tblGrid>
      <w:tr w:rsidR="00C62A9B" w:rsidRPr="000D1EF3" w14:paraId="614A1AC8" w14:textId="77777777">
        <w:tc>
          <w:tcPr>
            <w:tcW w:w="1035" w:type="dxa"/>
          </w:tcPr>
          <w:p w14:paraId="00000353" w14:textId="05DF19F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F</w:t>
            </w:r>
            <w:r w:rsidR="00E43440">
              <w:rPr>
                <w:rFonts w:asciiTheme="majorHAnsi" w:hAnsiTheme="majorHAnsi" w:cstheme="majorHAnsi"/>
                <w:bCs/>
                <w:sz w:val="24"/>
                <w:szCs w:val="24"/>
              </w:rPr>
              <w:t>o</w:t>
            </w:r>
            <w:r w:rsidRPr="00E43440">
              <w:rPr>
                <w:rFonts w:asciiTheme="majorHAnsi" w:hAnsiTheme="majorHAnsi" w:cstheme="majorHAnsi"/>
                <w:bCs/>
                <w:sz w:val="24"/>
                <w:szCs w:val="24"/>
              </w:rPr>
              <w:t>nd</w:t>
            </w:r>
          </w:p>
        </w:tc>
        <w:tc>
          <w:tcPr>
            <w:tcW w:w="1036" w:type="dxa"/>
          </w:tcPr>
          <w:p w14:paraId="00000354"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2021</w:t>
            </w:r>
          </w:p>
        </w:tc>
        <w:tc>
          <w:tcPr>
            <w:tcW w:w="1036" w:type="dxa"/>
          </w:tcPr>
          <w:p w14:paraId="00000355"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2022</w:t>
            </w:r>
          </w:p>
        </w:tc>
        <w:tc>
          <w:tcPr>
            <w:tcW w:w="1036" w:type="dxa"/>
          </w:tcPr>
          <w:p w14:paraId="00000356"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2023</w:t>
            </w:r>
          </w:p>
        </w:tc>
        <w:tc>
          <w:tcPr>
            <w:tcW w:w="1035" w:type="dxa"/>
          </w:tcPr>
          <w:p w14:paraId="00000357"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2024</w:t>
            </w:r>
          </w:p>
        </w:tc>
        <w:tc>
          <w:tcPr>
            <w:tcW w:w="1036" w:type="dxa"/>
          </w:tcPr>
          <w:p w14:paraId="00000358"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2025</w:t>
            </w:r>
          </w:p>
        </w:tc>
        <w:tc>
          <w:tcPr>
            <w:tcW w:w="1036" w:type="dxa"/>
          </w:tcPr>
          <w:p w14:paraId="00000359"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2026</w:t>
            </w:r>
          </w:p>
        </w:tc>
        <w:tc>
          <w:tcPr>
            <w:tcW w:w="1036" w:type="dxa"/>
          </w:tcPr>
          <w:p w14:paraId="0000035A"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2027</w:t>
            </w:r>
          </w:p>
        </w:tc>
        <w:tc>
          <w:tcPr>
            <w:tcW w:w="1603" w:type="dxa"/>
          </w:tcPr>
          <w:p w14:paraId="0000035B" w14:textId="77777777" w:rsidR="00C62A9B" w:rsidRPr="00E43440" w:rsidRDefault="00D11CD4">
            <w:pPr>
              <w:pBdr>
                <w:top w:val="nil"/>
                <w:left w:val="nil"/>
                <w:bottom w:val="nil"/>
                <w:right w:val="nil"/>
                <w:between w:val="nil"/>
              </w:pBdr>
              <w:spacing w:after="120"/>
              <w:rPr>
                <w:rFonts w:asciiTheme="majorHAnsi" w:hAnsiTheme="majorHAnsi" w:cstheme="majorHAnsi"/>
                <w:bCs/>
                <w:sz w:val="24"/>
                <w:szCs w:val="24"/>
              </w:rPr>
            </w:pPr>
            <w:r w:rsidRPr="00E43440">
              <w:rPr>
                <w:rFonts w:asciiTheme="majorHAnsi" w:hAnsiTheme="majorHAnsi" w:cstheme="majorHAnsi"/>
                <w:bCs/>
                <w:sz w:val="24"/>
                <w:szCs w:val="24"/>
              </w:rPr>
              <w:t xml:space="preserve">Total </w:t>
            </w:r>
          </w:p>
        </w:tc>
      </w:tr>
      <w:tr w:rsidR="00C62A9B" w:rsidRPr="000D1EF3" w14:paraId="72F244F1" w14:textId="77777777">
        <w:tc>
          <w:tcPr>
            <w:tcW w:w="1035" w:type="dxa"/>
          </w:tcPr>
          <w:p w14:paraId="0000035C" w14:textId="77777777" w:rsidR="00C62A9B" w:rsidRPr="000D1EF3" w:rsidRDefault="00C62A9B">
            <w:pPr>
              <w:spacing w:after="120"/>
              <w:rPr>
                <w:rFonts w:asciiTheme="majorHAnsi" w:hAnsiTheme="majorHAnsi" w:cstheme="majorHAnsi"/>
                <w:sz w:val="24"/>
                <w:szCs w:val="24"/>
              </w:rPr>
            </w:pPr>
          </w:p>
        </w:tc>
        <w:tc>
          <w:tcPr>
            <w:tcW w:w="1036" w:type="dxa"/>
          </w:tcPr>
          <w:p w14:paraId="0000035D" w14:textId="77777777" w:rsidR="00C62A9B" w:rsidRPr="000D1EF3" w:rsidRDefault="00C62A9B">
            <w:pPr>
              <w:spacing w:after="120"/>
              <w:rPr>
                <w:rFonts w:asciiTheme="majorHAnsi" w:hAnsiTheme="majorHAnsi" w:cstheme="majorHAnsi"/>
                <w:sz w:val="24"/>
                <w:szCs w:val="24"/>
              </w:rPr>
            </w:pPr>
          </w:p>
        </w:tc>
        <w:tc>
          <w:tcPr>
            <w:tcW w:w="1036" w:type="dxa"/>
          </w:tcPr>
          <w:p w14:paraId="0000035E" w14:textId="77777777" w:rsidR="00C62A9B" w:rsidRPr="000D1EF3" w:rsidRDefault="00C62A9B">
            <w:pPr>
              <w:spacing w:after="120"/>
              <w:rPr>
                <w:rFonts w:asciiTheme="majorHAnsi" w:hAnsiTheme="majorHAnsi" w:cstheme="majorHAnsi"/>
                <w:sz w:val="24"/>
                <w:szCs w:val="24"/>
              </w:rPr>
            </w:pPr>
          </w:p>
        </w:tc>
        <w:tc>
          <w:tcPr>
            <w:tcW w:w="1036" w:type="dxa"/>
          </w:tcPr>
          <w:p w14:paraId="0000035F" w14:textId="77777777" w:rsidR="00C62A9B" w:rsidRPr="000D1EF3" w:rsidRDefault="00C62A9B">
            <w:pPr>
              <w:spacing w:after="120"/>
              <w:rPr>
                <w:rFonts w:asciiTheme="majorHAnsi" w:hAnsiTheme="majorHAnsi" w:cstheme="majorHAnsi"/>
                <w:sz w:val="24"/>
                <w:szCs w:val="24"/>
              </w:rPr>
            </w:pPr>
          </w:p>
        </w:tc>
        <w:tc>
          <w:tcPr>
            <w:tcW w:w="1035" w:type="dxa"/>
          </w:tcPr>
          <w:p w14:paraId="00000360" w14:textId="77777777" w:rsidR="00C62A9B" w:rsidRPr="000D1EF3" w:rsidRDefault="00C62A9B">
            <w:pPr>
              <w:spacing w:after="120"/>
              <w:rPr>
                <w:rFonts w:asciiTheme="majorHAnsi" w:hAnsiTheme="majorHAnsi" w:cstheme="majorHAnsi"/>
                <w:sz w:val="24"/>
                <w:szCs w:val="24"/>
              </w:rPr>
            </w:pPr>
          </w:p>
        </w:tc>
        <w:tc>
          <w:tcPr>
            <w:tcW w:w="1036" w:type="dxa"/>
          </w:tcPr>
          <w:p w14:paraId="00000361" w14:textId="77777777" w:rsidR="00C62A9B" w:rsidRPr="000D1EF3" w:rsidRDefault="00C62A9B">
            <w:pPr>
              <w:spacing w:after="120"/>
              <w:rPr>
                <w:rFonts w:asciiTheme="majorHAnsi" w:hAnsiTheme="majorHAnsi" w:cstheme="majorHAnsi"/>
                <w:sz w:val="24"/>
                <w:szCs w:val="24"/>
              </w:rPr>
            </w:pPr>
          </w:p>
        </w:tc>
        <w:tc>
          <w:tcPr>
            <w:tcW w:w="1036" w:type="dxa"/>
          </w:tcPr>
          <w:p w14:paraId="00000362" w14:textId="77777777" w:rsidR="00C62A9B" w:rsidRPr="000D1EF3" w:rsidRDefault="00C62A9B">
            <w:pPr>
              <w:spacing w:after="120"/>
              <w:rPr>
                <w:rFonts w:asciiTheme="majorHAnsi" w:hAnsiTheme="majorHAnsi" w:cstheme="majorHAnsi"/>
                <w:sz w:val="24"/>
                <w:szCs w:val="24"/>
              </w:rPr>
            </w:pPr>
          </w:p>
        </w:tc>
        <w:tc>
          <w:tcPr>
            <w:tcW w:w="1036" w:type="dxa"/>
          </w:tcPr>
          <w:p w14:paraId="00000363" w14:textId="77777777" w:rsidR="00C62A9B" w:rsidRPr="000D1EF3" w:rsidRDefault="00C62A9B">
            <w:pPr>
              <w:spacing w:after="120"/>
              <w:rPr>
                <w:rFonts w:asciiTheme="majorHAnsi" w:hAnsiTheme="majorHAnsi" w:cstheme="majorHAnsi"/>
                <w:sz w:val="24"/>
                <w:szCs w:val="24"/>
              </w:rPr>
            </w:pPr>
          </w:p>
        </w:tc>
        <w:tc>
          <w:tcPr>
            <w:tcW w:w="1603" w:type="dxa"/>
          </w:tcPr>
          <w:p w14:paraId="00000364" w14:textId="77777777" w:rsidR="00C62A9B" w:rsidRPr="000D1EF3" w:rsidRDefault="00C62A9B">
            <w:pPr>
              <w:spacing w:after="120"/>
              <w:rPr>
                <w:rFonts w:asciiTheme="majorHAnsi" w:hAnsiTheme="majorHAnsi" w:cstheme="majorHAnsi"/>
                <w:sz w:val="24"/>
                <w:szCs w:val="24"/>
              </w:rPr>
            </w:pPr>
          </w:p>
        </w:tc>
      </w:tr>
    </w:tbl>
    <w:p w14:paraId="00000365" w14:textId="77777777" w:rsidR="00C62A9B" w:rsidRPr="000D1EF3" w:rsidRDefault="00C62A9B">
      <w:pPr>
        <w:spacing w:after="120" w:line="240" w:lineRule="auto"/>
        <w:rPr>
          <w:rFonts w:asciiTheme="majorHAnsi" w:hAnsiTheme="majorHAnsi" w:cstheme="majorHAnsi"/>
          <w:sz w:val="24"/>
          <w:szCs w:val="24"/>
        </w:rPr>
      </w:pPr>
    </w:p>
    <w:p w14:paraId="00000366" w14:textId="77777777" w:rsidR="00C62A9B" w:rsidRPr="000D1EF3" w:rsidRDefault="00D11CD4" w:rsidP="00E43440">
      <w:pPr>
        <w:pStyle w:val="Heading2"/>
        <w:rPr>
          <w:u w:val="single"/>
        </w:rPr>
      </w:pPr>
      <w:bookmarkStart w:id="35" w:name="_Toc78795681"/>
      <w:r w:rsidRPr="000D1EF3">
        <w:t>3.2 Total alocări financiare</w:t>
      </w:r>
      <w:bookmarkEnd w:id="35"/>
      <w:r w:rsidRPr="000D1EF3">
        <w:rPr>
          <w:u w:val="single"/>
        </w:rPr>
        <w:t xml:space="preserve"> </w:t>
      </w:r>
    </w:p>
    <w:p w14:paraId="00000369" w14:textId="30C59344"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6: Total alocări financiare per fond și per contribu</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ie na</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ională</w:t>
      </w:r>
    </w:p>
    <w:tbl>
      <w:tblPr>
        <w:tblStyle w:val="ab"/>
        <w:tblW w:w="5000" w:type="pct"/>
        <w:tblInd w:w="0" w:type="dxa"/>
        <w:tblBorders>
          <w:top w:val="nil"/>
          <w:left w:val="nil"/>
          <w:bottom w:val="nil"/>
          <w:right w:val="nil"/>
          <w:insideH w:val="nil"/>
          <w:insideV w:val="nil"/>
        </w:tblBorders>
        <w:tblLayout w:type="fixed"/>
        <w:tblCellMar>
          <w:top w:w="11" w:type="dxa"/>
          <w:left w:w="57" w:type="dxa"/>
          <w:bottom w:w="11" w:type="dxa"/>
          <w:right w:w="57" w:type="dxa"/>
        </w:tblCellMar>
        <w:tblLook w:val="0600" w:firstRow="0" w:lastRow="0" w:firstColumn="0" w:lastColumn="0" w:noHBand="1" w:noVBand="1"/>
      </w:tblPr>
      <w:tblGrid>
        <w:gridCol w:w="918"/>
        <w:gridCol w:w="5264"/>
        <w:gridCol w:w="1082"/>
        <w:gridCol w:w="1502"/>
        <w:gridCol w:w="1502"/>
        <w:gridCol w:w="1502"/>
        <w:gridCol w:w="916"/>
        <w:gridCol w:w="1502"/>
        <w:gridCol w:w="1502"/>
      </w:tblGrid>
      <w:tr w:rsidR="00C62A9B" w:rsidRPr="000D1EF3" w14:paraId="534BCD08" w14:textId="77777777" w:rsidTr="009066F9">
        <w:tc>
          <w:tcPr>
            <w:tcW w:w="85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6A" w14:textId="77777777"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Obiectiv Specific</w:t>
            </w:r>
          </w:p>
        </w:tc>
        <w:tc>
          <w:tcPr>
            <w:tcW w:w="4888"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6B" w14:textId="321CC4C2"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Tip de ac</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iune</w:t>
            </w:r>
          </w:p>
        </w:tc>
        <w:tc>
          <w:tcPr>
            <w:tcW w:w="1005"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6C" w14:textId="77777777"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Bază de calcul pentru sprijinul Uniunii (total sau public)</w:t>
            </w:r>
          </w:p>
        </w:tc>
        <w:tc>
          <w:tcPr>
            <w:tcW w:w="1395"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6D" w14:textId="01556FBE" w:rsidR="00C62A9B" w:rsidRPr="000D1EF3" w:rsidRDefault="00D11CD4">
            <w:pPr>
              <w:widowControl w:val="0"/>
              <w:spacing w:after="0" w:line="276" w:lineRule="auto"/>
              <w:jc w:val="center"/>
              <w:rPr>
                <w:rFonts w:asciiTheme="majorHAnsi" w:hAnsiTheme="majorHAnsi" w:cstheme="majorHAnsi"/>
                <w:b/>
                <w:i/>
                <w:sz w:val="18"/>
                <w:szCs w:val="18"/>
                <w:u w:val="single"/>
              </w:rPr>
            </w:pPr>
            <w:r w:rsidRPr="000D1EF3">
              <w:rPr>
                <w:rFonts w:asciiTheme="majorHAnsi" w:hAnsiTheme="majorHAnsi" w:cstheme="majorHAnsi"/>
                <w:b/>
                <w:i/>
                <w:sz w:val="18"/>
                <w:szCs w:val="18"/>
                <w:u w:val="single"/>
              </w:rPr>
              <w:t>Contribu</w:t>
            </w:r>
            <w:r w:rsidR="00812FFF" w:rsidRPr="000D1EF3">
              <w:rPr>
                <w:rFonts w:asciiTheme="majorHAnsi" w:hAnsiTheme="majorHAnsi" w:cstheme="majorHAnsi"/>
                <w:b/>
                <w:i/>
                <w:sz w:val="18"/>
                <w:szCs w:val="18"/>
                <w:u w:val="single"/>
              </w:rPr>
              <w:t>ț</w:t>
            </w:r>
            <w:r w:rsidRPr="000D1EF3">
              <w:rPr>
                <w:rFonts w:asciiTheme="majorHAnsi" w:hAnsiTheme="majorHAnsi" w:cstheme="majorHAnsi"/>
                <w:b/>
                <w:i/>
                <w:sz w:val="18"/>
                <w:szCs w:val="18"/>
                <w:u w:val="single"/>
              </w:rPr>
              <w:t>ia Uniunii (a)</w:t>
            </w:r>
          </w:p>
        </w:tc>
        <w:tc>
          <w:tcPr>
            <w:tcW w:w="1395"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6E" w14:textId="5442517A"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Contribu</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ia na</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ională (b)=(c)+(d)</w:t>
            </w:r>
          </w:p>
        </w:tc>
        <w:tc>
          <w:tcPr>
            <w:tcW w:w="224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6F" w14:textId="6939A6FA"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Defalcarea orientativă a contribu</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iei na</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ionale</w:t>
            </w:r>
          </w:p>
        </w:tc>
        <w:tc>
          <w:tcPr>
            <w:tcW w:w="1395"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1" w14:textId="77777777"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Total</w:t>
            </w:r>
          </w:p>
          <w:p w14:paraId="00000372" w14:textId="77777777"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e=(a)+(b)</w:t>
            </w:r>
          </w:p>
        </w:tc>
        <w:tc>
          <w:tcPr>
            <w:tcW w:w="1395" w:type="dxa"/>
            <w:vMerge w:val="restart"/>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3" w14:textId="7D6EDBEF" w:rsidR="00C62A9B" w:rsidRPr="000D1EF3" w:rsidRDefault="00D11CD4">
            <w:pPr>
              <w:widowControl w:val="0"/>
              <w:spacing w:after="0" w:line="276" w:lineRule="auto"/>
              <w:jc w:val="center"/>
              <w:rPr>
                <w:rFonts w:asciiTheme="majorHAnsi" w:hAnsiTheme="majorHAnsi" w:cstheme="majorHAnsi"/>
                <w:b/>
                <w:sz w:val="18"/>
                <w:szCs w:val="18"/>
              </w:rPr>
            </w:pPr>
            <w:r w:rsidRPr="000D1EF3">
              <w:rPr>
                <w:rFonts w:asciiTheme="majorHAnsi" w:hAnsiTheme="majorHAnsi" w:cstheme="majorHAnsi"/>
                <w:b/>
                <w:sz w:val="18"/>
                <w:szCs w:val="18"/>
              </w:rPr>
              <w:t>Rată de cofinan</w:t>
            </w:r>
            <w:r w:rsidR="00812FFF" w:rsidRPr="000D1EF3">
              <w:rPr>
                <w:rFonts w:asciiTheme="majorHAnsi" w:hAnsiTheme="majorHAnsi" w:cstheme="majorHAnsi"/>
                <w:b/>
                <w:sz w:val="18"/>
                <w:szCs w:val="18"/>
              </w:rPr>
              <w:t>ț</w:t>
            </w:r>
            <w:r w:rsidRPr="000D1EF3">
              <w:rPr>
                <w:rFonts w:asciiTheme="majorHAnsi" w:hAnsiTheme="majorHAnsi" w:cstheme="majorHAnsi"/>
                <w:b/>
                <w:sz w:val="18"/>
                <w:szCs w:val="18"/>
              </w:rPr>
              <w:t>are (f)=(a)/(e)</w:t>
            </w:r>
          </w:p>
        </w:tc>
      </w:tr>
      <w:tr w:rsidR="00C62A9B" w:rsidRPr="000D1EF3" w14:paraId="1E0592EF" w14:textId="77777777" w:rsidTr="009066F9">
        <w:tc>
          <w:tcPr>
            <w:tcW w:w="852"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4" w14:textId="77777777" w:rsidR="00C62A9B" w:rsidRPr="000D1EF3" w:rsidRDefault="00C62A9B">
            <w:pPr>
              <w:widowControl w:val="0"/>
              <w:spacing w:after="0" w:line="276" w:lineRule="auto"/>
              <w:rPr>
                <w:rFonts w:asciiTheme="majorHAnsi" w:hAnsiTheme="majorHAnsi" w:cstheme="majorHAnsi"/>
                <w:sz w:val="24"/>
                <w:szCs w:val="24"/>
              </w:rPr>
            </w:pPr>
          </w:p>
        </w:tc>
        <w:tc>
          <w:tcPr>
            <w:tcW w:w="4888"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5" w14:textId="77777777" w:rsidR="00C62A9B" w:rsidRPr="000D1EF3" w:rsidRDefault="00C62A9B">
            <w:pPr>
              <w:widowControl w:val="0"/>
              <w:spacing w:after="0" w:line="276" w:lineRule="auto"/>
              <w:rPr>
                <w:rFonts w:asciiTheme="majorHAnsi" w:hAnsiTheme="majorHAnsi" w:cstheme="majorHAnsi"/>
                <w:sz w:val="24"/>
                <w:szCs w:val="24"/>
              </w:rPr>
            </w:pPr>
          </w:p>
        </w:tc>
        <w:tc>
          <w:tcPr>
            <w:tcW w:w="1005"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6"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7"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109.558.646</w:t>
            </w:r>
          </w:p>
        </w:tc>
        <w:tc>
          <w:tcPr>
            <w:tcW w:w="1395"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8"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109.558.646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9" w14:textId="77777777" w:rsidR="00C62A9B" w:rsidRPr="000D1EF3" w:rsidRDefault="00D11CD4">
            <w:pPr>
              <w:widowControl w:val="0"/>
              <w:spacing w:after="0" w:line="276" w:lineRule="auto"/>
              <w:jc w:val="center"/>
              <w:rPr>
                <w:rFonts w:asciiTheme="majorHAnsi" w:hAnsiTheme="majorHAnsi" w:cstheme="majorHAnsi"/>
                <w:b/>
                <w:sz w:val="16"/>
                <w:szCs w:val="16"/>
              </w:rPr>
            </w:pPr>
            <w:r w:rsidRPr="000D1EF3">
              <w:rPr>
                <w:rFonts w:asciiTheme="majorHAnsi" w:hAnsiTheme="majorHAnsi" w:cstheme="majorHAnsi"/>
                <w:b/>
                <w:sz w:val="16"/>
                <w:szCs w:val="16"/>
              </w:rPr>
              <w:t>publică (c)</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A" w14:textId="77777777" w:rsidR="00C62A9B" w:rsidRPr="000D1EF3" w:rsidRDefault="00D11CD4">
            <w:pPr>
              <w:widowControl w:val="0"/>
              <w:spacing w:after="0" w:line="276" w:lineRule="auto"/>
              <w:jc w:val="center"/>
              <w:rPr>
                <w:rFonts w:asciiTheme="majorHAnsi" w:hAnsiTheme="majorHAnsi" w:cstheme="majorHAnsi"/>
                <w:b/>
                <w:sz w:val="16"/>
                <w:szCs w:val="16"/>
              </w:rPr>
            </w:pPr>
            <w:r w:rsidRPr="000D1EF3">
              <w:rPr>
                <w:rFonts w:asciiTheme="majorHAnsi" w:hAnsiTheme="majorHAnsi" w:cstheme="majorHAnsi"/>
                <w:b/>
                <w:sz w:val="16"/>
                <w:szCs w:val="16"/>
              </w:rPr>
              <w:t>privată (d)</w:t>
            </w:r>
          </w:p>
        </w:tc>
        <w:tc>
          <w:tcPr>
            <w:tcW w:w="1395"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B"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37C" w14:textId="77777777" w:rsidR="00C62A9B" w:rsidRPr="000D1EF3" w:rsidRDefault="00C62A9B">
            <w:pPr>
              <w:widowControl w:val="0"/>
              <w:spacing w:after="0" w:line="276" w:lineRule="auto"/>
              <w:rPr>
                <w:rFonts w:asciiTheme="majorHAnsi" w:hAnsiTheme="majorHAnsi" w:cstheme="majorHAnsi"/>
                <w:sz w:val="24"/>
                <w:szCs w:val="24"/>
              </w:rPr>
            </w:pPr>
          </w:p>
        </w:tc>
      </w:tr>
      <w:tr w:rsidR="00C62A9B" w:rsidRPr="000D1EF3" w14:paraId="56E2AB4C"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7D"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E" w14:textId="08D55B73"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 xml:space="preserve">olul </w:t>
            </w:r>
            <w:r w:rsidRPr="000D1EF3">
              <w:rPr>
                <w:rFonts w:asciiTheme="majorHAnsi" w:hAnsiTheme="majorHAnsi" w:cstheme="majorHAnsi"/>
                <w:i/>
                <w:sz w:val="24"/>
                <w:szCs w:val="24"/>
              </w:rPr>
              <w:t xml:space="preserve">12(1) din Regulamentul IMFV - </w:t>
            </w:r>
            <w:r w:rsidRPr="000D1EF3">
              <w:rPr>
                <w:rFonts w:asciiTheme="majorHAnsi" w:hAnsiTheme="majorHAnsi" w:cstheme="majorHAnsi"/>
                <w:i/>
                <w:sz w:val="24"/>
                <w:szCs w:val="24"/>
                <w:u w:val="single"/>
              </w:rPr>
              <w:t>proiecte 75%</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7F"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0"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81.500.000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1"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27.166.667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2"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27.166.667</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3"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4"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108.666.667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5"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75,00%</w:t>
            </w:r>
          </w:p>
        </w:tc>
      </w:tr>
      <w:tr w:rsidR="00C62A9B" w:rsidRPr="000D1EF3" w14:paraId="50D25F98"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86"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7" w14:textId="50D8561D"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12(2) din Regulamentul IMFV - </w:t>
            </w:r>
            <w:r w:rsidRPr="000D1EF3">
              <w:rPr>
                <w:rFonts w:asciiTheme="majorHAnsi" w:hAnsiTheme="majorHAnsi" w:cstheme="majorHAnsi"/>
                <w:i/>
                <w:sz w:val="24"/>
                <w:szCs w:val="24"/>
                <w:u w:val="single"/>
              </w:rPr>
              <w:t>ac</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iuni specifice</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8"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9"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A"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B"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C"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D"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8E"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0,00%</w:t>
            </w:r>
          </w:p>
        </w:tc>
      </w:tr>
      <w:tr w:rsidR="00C62A9B" w:rsidRPr="000D1EF3" w14:paraId="31AA3405"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8F"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0" w14:textId="09EAAC63"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12(3) din Regulamentul IMFV - </w:t>
            </w:r>
            <w:r w:rsidRPr="000D1EF3">
              <w:rPr>
                <w:rFonts w:asciiTheme="majorHAnsi" w:hAnsiTheme="majorHAnsi" w:cstheme="majorHAnsi"/>
                <w:i/>
                <w:sz w:val="24"/>
                <w:szCs w:val="24"/>
                <w:u w:val="single"/>
              </w:rPr>
              <w:t>ac</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iuni 90%</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1"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2"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800.000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3"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88.889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4"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88.889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5"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6"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888.889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7"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90,00%</w:t>
            </w:r>
          </w:p>
        </w:tc>
      </w:tr>
      <w:tr w:rsidR="00C62A9B" w:rsidRPr="000D1EF3" w14:paraId="699A6993"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98"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9" w14:textId="3311464E"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12(4) din Regulamentul IMFV - </w:t>
            </w:r>
            <w:r w:rsidRPr="000D1EF3">
              <w:rPr>
                <w:rFonts w:asciiTheme="majorHAnsi" w:hAnsiTheme="majorHAnsi" w:cstheme="majorHAnsi"/>
                <w:i/>
                <w:sz w:val="24"/>
                <w:szCs w:val="24"/>
                <w:u w:val="single"/>
              </w:rPr>
              <w:t>suport opera</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ional</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A"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B"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9.000.000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C"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D"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E"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9F"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9.000.000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0"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100,00%</w:t>
            </w:r>
          </w:p>
        </w:tc>
      </w:tr>
      <w:tr w:rsidR="00C62A9B" w:rsidRPr="000D1EF3" w14:paraId="63D10A5C"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A1"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2" w14:textId="1637F37A"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12(6) din Regulamentul IMFV - </w:t>
            </w:r>
            <w:r w:rsidRPr="000D1EF3">
              <w:rPr>
                <w:rFonts w:asciiTheme="majorHAnsi" w:hAnsiTheme="majorHAnsi" w:cstheme="majorHAnsi"/>
                <w:i/>
                <w:sz w:val="24"/>
                <w:szCs w:val="24"/>
                <w:u w:val="single"/>
              </w:rPr>
              <w:t>asisten</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ă de urgen</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ă</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3"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4"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5"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6"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7"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8"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9"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0,00%</w:t>
            </w:r>
          </w:p>
        </w:tc>
      </w:tr>
      <w:tr w:rsidR="00C62A9B" w:rsidRPr="000D1EF3" w14:paraId="65876315"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AA"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lastRenderedPageBreak/>
              <w:t>OS 1</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B" w14:textId="55C2E3A6"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12(5) din Regulamentul IMFV - </w:t>
            </w:r>
            <w:r w:rsidRPr="000D1EF3">
              <w:rPr>
                <w:rFonts w:asciiTheme="majorHAnsi" w:hAnsiTheme="majorHAnsi" w:cstheme="majorHAnsi"/>
                <w:i/>
                <w:sz w:val="24"/>
                <w:szCs w:val="24"/>
                <w:u w:val="single"/>
              </w:rPr>
              <w:t>ETIAS</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C"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D"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E"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AF"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0"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1"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2"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100,00%</w:t>
            </w:r>
          </w:p>
        </w:tc>
      </w:tr>
      <w:tr w:rsidR="00C62A9B" w:rsidRPr="000D1EF3" w14:paraId="15F0F98B" w14:textId="77777777" w:rsidTr="009066F9">
        <w:tc>
          <w:tcPr>
            <w:tcW w:w="574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B3"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b/>
                <w:sz w:val="24"/>
                <w:szCs w:val="24"/>
              </w:rPr>
              <w:t>Total pentru OS 1</w:t>
            </w:r>
          </w:p>
        </w:tc>
        <w:tc>
          <w:tcPr>
            <w:tcW w:w="10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3B5"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6"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92.300.000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7"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27.255.556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8"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27.255.556</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9"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A"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119.555.556</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3BB" w14:textId="77777777" w:rsidR="00C62A9B" w:rsidRPr="000D1EF3" w:rsidRDefault="00C62A9B">
            <w:pPr>
              <w:widowControl w:val="0"/>
              <w:spacing w:after="0" w:line="276" w:lineRule="auto"/>
              <w:rPr>
                <w:rFonts w:asciiTheme="majorHAnsi" w:hAnsiTheme="majorHAnsi" w:cstheme="majorHAnsi"/>
                <w:sz w:val="24"/>
                <w:szCs w:val="24"/>
              </w:rPr>
            </w:pPr>
          </w:p>
        </w:tc>
      </w:tr>
      <w:tr w:rsidR="00C62A9B" w:rsidRPr="000D1EF3" w14:paraId="58A205F6"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BC"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2</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D" w14:textId="397C381B"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12(1) din Regulamentul IMFV - </w:t>
            </w:r>
            <w:r w:rsidRPr="000D1EF3">
              <w:rPr>
                <w:rFonts w:asciiTheme="majorHAnsi" w:hAnsiTheme="majorHAnsi" w:cstheme="majorHAnsi"/>
                <w:i/>
                <w:sz w:val="24"/>
                <w:szCs w:val="24"/>
                <w:u w:val="single"/>
              </w:rPr>
              <w:t>proiecte 75%</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E"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BF"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9.257.210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0"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3.085.737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1"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3.085.737</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2"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3"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12.342.947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4"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75,00%</w:t>
            </w:r>
          </w:p>
        </w:tc>
      </w:tr>
      <w:tr w:rsidR="00C62A9B" w:rsidRPr="000D1EF3" w14:paraId="5ACB9E9C"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C5"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2</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6" w14:textId="49AE40A1"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 xml:space="preserve">olul </w:t>
            </w:r>
            <w:r w:rsidRPr="000D1EF3">
              <w:rPr>
                <w:rFonts w:asciiTheme="majorHAnsi" w:hAnsiTheme="majorHAnsi" w:cstheme="majorHAnsi"/>
                <w:i/>
                <w:sz w:val="24"/>
                <w:szCs w:val="24"/>
              </w:rPr>
              <w:t xml:space="preserve">12(2) din Regulamentul IMFV - </w:t>
            </w:r>
            <w:r w:rsidRPr="000D1EF3">
              <w:rPr>
                <w:rFonts w:asciiTheme="majorHAnsi" w:hAnsiTheme="majorHAnsi" w:cstheme="majorHAnsi"/>
                <w:i/>
                <w:sz w:val="24"/>
                <w:szCs w:val="24"/>
                <w:u w:val="single"/>
              </w:rPr>
              <w:t>ac</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iuni specifice</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7"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8"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9"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A"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B"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C"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D"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0,00%</w:t>
            </w:r>
          </w:p>
        </w:tc>
      </w:tr>
      <w:tr w:rsidR="00C62A9B" w:rsidRPr="000D1EF3" w14:paraId="5090A442"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CE"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2</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CF" w14:textId="07C8641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12(4) din Regulamentul IMFV - </w:t>
            </w:r>
            <w:r w:rsidRPr="000D1EF3">
              <w:rPr>
                <w:rFonts w:asciiTheme="majorHAnsi" w:hAnsiTheme="majorHAnsi" w:cstheme="majorHAnsi"/>
                <w:i/>
                <w:sz w:val="24"/>
                <w:szCs w:val="24"/>
                <w:u w:val="single"/>
              </w:rPr>
              <w:t>suport opera</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ional</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0"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1"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1.800.000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2"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3"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4"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5"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1.800.000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6"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100,00%</w:t>
            </w:r>
          </w:p>
        </w:tc>
      </w:tr>
      <w:tr w:rsidR="00C62A9B" w:rsidRPr="000D1EF3" w14:paraId="57FA4CCB" w14:textId="77777777" w:rsidTr="009066F9">
        <w:tc>
          <w:tcPr>
            <w:tcW w:w="8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D7"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OS 2</w:t>
            </w:r>
          </w:p>
        </w:tc>
        <w:tc>
          <w:tcPr>
            <w:tcW w:w="488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8" w14:textId="58CBFDE8"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i/>
                <w:sz w:val="24"/>
                <w:szCs w:val="24"/>
              </w:rPr>
              <w:t>Ac</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iuni cofinan</w:t>
            </w:r>
            <w:r w:rsidR="00812FFF" w:rsidRPr="000D1EF3">
              <w:rPr>
                <w:rFonts w:asciiTheme="majorHAnsi" w:hAnsiTheme="majorHAnsi" w:cstheme="majorHAnsi"/>
                <w:i/>
                <w:sz w:val="24"/>
                <w:szCs w:val="24"/>
              </w:rPr>
              <w:t>ț</w:t>
            </w:r>
            <w:r w:rsidRPr="000D1EF3">
              <w:rPr>
                <w:rFonts w:asciiTheme="majorHAnsi" w:hAnsiTheme="majorHAnsi" w:cstheme="majorHAnsi"/>
                <w:i/>
                <w:sz w:val="24"/>
                <w:szCs w:val="24"/>
              </w:rPr>
              <w:t>ate în conformitate cu Artic</w:t>
            </w:r>
            <w:r w:rsidR="00AC653C" w:rsidRPr="000D1EF3">
              <w:rPr>
                <w:rFonts w:asciiTheme="majorHAnsi" w:hAnsiTheme="majorHAnsi" w:cstheme="majorHAnsi"/>
                <w:i/>
                <w:sz w:val="24"/>
                <w:szCs w:val="24"/>
              </w:rPr>
              <w:t>olul</w:t>
            </w:r>
            <w:r w:rsidRPr="000D1EF3">
              <w:rPr>
                <w:rFonts w:asciiTheme="majorHAnsi" w:hAnsiTheme="majorHAnsi" w:cstheme="majorHAnsi"/>
                <w:i/>
                <w:sz w:val="24"/>
                <w:szCs w:val="24"/>
              </w:rPr>
              <w:t xml:space="preserve"> 12(6) din Regulamentul IMFV - </w:t>
            </w:r>
            <w:r w:rsidRPr="000D1EF3">
              <w:rPr>
                <w:rFonts w:asciiTheme="majorHAnsi" w:hAnsiTheme="majorHAnsi" w:cstheme="majorHAnsi"/>
                <w:i/>
                <w:sz w:val="24"/>
                <w:szCs w:val="24"/>
                <w:u w:val="single"/>
              </w:rPr>
              <w:t>asisten</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ă de urgen</w:t>
            </w:r>
            <w:r w:rsidR="00812FFF" w:rsidRPr="000D1EF3">
              <w:rPr>
                <w:rFonts w:asciiTheme="majorHAnsi" w:hAnsiTheme="majorHAnsi" w:cstheme="majorHAnsi"/>
                <w:i/>
                <w:sz w:val="24"/>
                <w:szCs w:val="24"/>
                <w:u w:val="single"/>
              </w:rPr>
              <w:t>ț</w:t>
            </w:r>
            <w:r w:rsidRPr="000D1EF3">
              <w:rPr>
                <w:rFonts w:asciiTheme="majorHAnsi" w:hAnsiTheme="majorHAnsi" w:cstheme="majorHAnsi"/>
                <w:i/>
                <w:sz w:val="24"/>
                <w:szCs w:val="24"/>
                <w:u w:val="single"/>
              </w:rPr>
              <w:t>ă</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9"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A"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B"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C"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D"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E"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DF"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0,00%</w:t>
            </w:r>
          </w:p>
        </w:tc>
      </w:tr>
      <w:tr w:rsidR="00C62A9B" w:rsidRPr="000D1EF3" w14:paraId="3860F943" w14:textId="77777777" w:rsidTr="009066F9">
        <w:tc>
          <w:tcPr>
            <w:tcW w:w="574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E0"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b/>
                <w:sz w:val="24"/>
                <w:szCs w:val="24"/>
              </w:rPr>
              <w:t>Total pentru OS 2</w:t>
            </w:r>
          </w:p>
        </w:tc>
        <w:tc>
          <w:tcPr>
            <w:tcW w:w="10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3E2"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3"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11.057.210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4"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3.085.737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5"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3.085.737</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6"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7"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14.142.947</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3E8" w14:textId="77777777" w:rsidR="00C62A9B" w:rsidRPr="000D1EF3" w:rsidRDefault="00C62A9B">
            <w:pPr>
              <w:widowControl w:val="0"/>
              <w:spacing w:after="0" w:line="276" w:lineRule="auto"/>
              <w:rPr>
                <w:rFonts w:asciiTheme="majorHAnsi" w:hAnsiTheme="majorHAnsi" w:cstheme="majorHAnsi"/>
                <w:sz w:val="24"/>
                <w:szCs w:val="24"/>
              </w:rPr>
            </w:pPr>
          </w:p>
        </w:tc>
      </w:tr>
      <w:tr w:rsidR="00C62A9B" w:rsidRPr="000D1EF3" w14:paraId="7B47604B" w14:textId="77777777" w:rsidTr="009066F9">
        <w:tc>
          <w:tcPr>
            <w:tcW w:w="574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E9" w14:textId="21B90274"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b/>
                <w:sz w:val="24"/>
                <w:szCs w:val="24"/>
              </w:rPr>
              <w:t>Asisten</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ă tehnică în temeiul articolului 36 alineatul (5) din RDC</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B"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total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C"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6.201.436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D"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E"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EF"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0"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6.201.436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1" w14:textId="77777777" w:rsidR="00C62A9B" w:rsidRPr="000D1EF3" w:rsidRDefault="00D11CD4">
            <w:pPr>
              <w:widowControl w:val="0"/>
              <w:spacing w:after="0" w:line="276" w:lineRule="auto"/>
              <w:jc w:val="center"/>
              <w:rPr>
                <w:rFonts w:asciiTheme="majorHAnsi" w:hAnsiTheme="majorHAnsi" w:cstheme="majorHAnsi"/>
                <w:sz w:val="24"/>
                <w:szCs w:val="24"/>
              </w:rPr>
            </w:pPr>
            <w:r w:rsidRPr="000D1EF3">
              <w:rPr>
                <w:rFonts w:asciiTheme="majorHAnsi" w:hAnsiTheme="majorHAnsi" w:cstheme="majorHAnsi"/>
                <w:sz w:val="24"/>
                <w:szCs w:val="24"/>
              </w:rPr>
              <w:t>100,00%</w:t>
            </w:r>
          </w:p>
        </w:tc>
      </w:tr>
      <w:tr w:rsidR="00C62A9B" w:rsidRPr="000D1EF3" w14:paraId="7C461F18" w14:textId="77777777" w:rsidTr="009066F9">
        <w:tc>
          <w:tcPr>
            <w:tcW w:w="574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F2" w14:textId="7D53D664"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sz w:val="24"/>
                <w:szCs w:val="24"/>
              </w:rPr>
              <w:t>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tehnică în temeiul articolului 37 din RDC</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4"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5"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6"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7"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8"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9"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A" w14:textId="77777777" w:rsidR="00C62A9B" w:rsidRPr="000D1EF3" w:rsidRDefault="00C62A9B">
            <w:pPr>
              <w:widowControl w:val="0"/>
              <w:spacing w:after="0" w:line="276" w:lineRule="auto"/>
              <w:rPr>
                <w:rFonts w:asciiTheme="majorHAnsi" w:hAnsiTheme="majorHAnsi" w:cstheme="majorHAnsi"/>
                <w:sz w:val="24"/>
                <w:szCs w:val="24"/>
              </w:rPr>
            </w:pPr>
          </w:p>
        </w:tc>
      </w:tr>
      <w:tr w:rsidR="00C62A9B" w:rsidRPr="000D1EF3" w14:paraId="2923D3AE" w14:textId="77777777" w:rsidTr="009066F9">
        <w:tc>
          <w:tcPr>
            <w:tcW w:w="5740"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3FB" w14:textId="77777777" w:rsidR="00C62A9B" w:rsidRPr="000D1EF3" w:rsidRDefault="00D11CD4">
            <w:pPr>
              <w:widowControl w:val="0"/>
              <w:spacing w:after="0" w:line="276" w:lineRule="auto"/>
              <w:rPr>
                <w:rFonts w:asciiTheme="majorHAnsi" w:hAnsiTheme="majorHAnsi" w:cstheme="majorHAnsi"/>
                <w:sz w:val="24"/>
                <w:szCs w:val="24"/>
              </w:rPr>
            </w:pPr>
            <w:r w:rsidRPr="000D1EF3">
              <w:rPr>
                <w:rFonts w:asciiTheme="majorHAnsi" w:hAnsiTheme="majorHAnsi" w:cstheme="majorHAnsi"/>
                <w:b/>
                <w:sz w:val="24"/>
                <w:szCs w:val="24"/>
              </w:rPr>
              <w:t>Total general</w:t>
            </w:r>
          </w:p>
        </w:tc>
        <w:tc>
          <w:tcPr>
            <w:tcW w:w="10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3FD" w14:textId="77777777" w:rsidR="00C62A9B" w:rsidRPr="000D1EF3" w:rsidRDefault="00C62A9B">
            <w:pPr>
              <w:widowControl w:val="0"/>
              <w:spacing w:after="0" w:line="276" w:lineRule="auto"/>
              <w:rPr>
                <w:rFonts w:asciiTheme="majorHAnsi" w:hAnsiTheme="majorHAnsi" w:cstheme="majorHAnsi"/>
                <w:sz w:val="24"/>
                <w:szCs w:val="24"/>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E"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109.558.646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3FF"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30.341.293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00"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30.341.293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01"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00402" w14:textId="77777777" w:rsidR="00C62A9B" w:rsidRPr="000D1EF3" w:rsidRDefault="00D11CD4">
            <w:pPr>
              <w:widowControl w:val="0"/>
              <w:spacing w:after="0" w:line="276" w:lineRule="auto"/>
              <w:jc w:val="right"/>
              <w:rPr>
                <w:rFonts w:asciiTheme="majorHAnsi" w:hAnsiTheme="majorHAnsi" w:cstheme="majorHAnsi"/>
                <w:sz w:val="24"/>
                <w:szCs w:val="24"/>
              </w:rPr>
            </w:pPr>
            <w:r w:rsidRPr="000D1EF3">
              <w:rPr>
                <w:rFonts w:asciiTheme="majorHAnsi" w:hAnsiTheme="majorHAnsi" w:cstheme="majorHAnsi"/>
                <w:b/>
                <w:sz w:val="24"/>
                <w:szCs w:val="24"/>
              </w:rPr>
              <w:t>139.899.939</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00000403" w14:textId="77777777" w:rsidR="00C62A9B" w:rsidRPr="000D1EF3" w:rsidRDefault="00C62A9B">
            <w:pPr>
              <w:widowControl w:val="0"/>
              <w:spacing w:after="0" w:line="276" w:lineRule="auto"/>
              <w:rPr>
                <w:rFonts w:asciiTheme="majorHAnsi" w:hAnsiTheme="majorHAnsi" w:cstheme="majorHAnsi"/>
                <w:sz w:val="24"/>
                <w:szCs w:val="24"/>
              </w:rPr>
            </w:pPr>
          </w:p>
        </w:tc>
      </w:tr>
    </w:tbl>
    <w:p w14:paraId="00000404" w14:textId="77777777" w:rsidR="00C62A9B" w:rsidRPr="000D1EF3" w:rsidRDefault="00C62A9B">
      <w:pPr>
        <w:spacing w:after="120" w:line="240" w:lineRule="auto"/>
        <w:rPr>
          <w:rFonts w:asciiTheme="majorHAnsi" w:hAnsiTheme="majorHAnsi" w:cstheme="majorHAnsi"/>
          <w:b/>
          <w:sz w:val="24"/>
          <w:szCs w:val="24"/>
        </w:rPr>
      </w:pPr>
    </w:p>
    <w:p w14:paraId="614C1C2C" w14:textId="77777777" w:rsidR="00A83083" w:rsidRPr="000D1EF3" w:rsidRDefault="00A83083" w:rsidP="00E43440">
      <w:pPr>
        <w:pStyle w:val="Heading2"/>
      </w:pPr>
      <w:bookmarkStart w:id="36" w:name="_Toc78795682"/>
      <w:r w:rsidRPr="000D1EF3">
        <w:t>3.3. Transferuri</w:t>
      </w:r>
      <w:bookmarkEnd w:id="36"/>
    </w:p>
    <w:p w14:paraId="3FE1A4B8" w14:textId="77777777" w:rsidR="00A83083" w:rsidRPr="000D1EF3" w:rsidRDefault="00A83083" w:rsidP="00A83083">
      <w:pPr>
        <w:spacing w:after="120" w:line="240" w:lineRule="auto"/>
        <w:rPr>
          <w:sz w:val="24"/>
          <w:szCs w:val="24"/>
        </w:rPr>
      </w:pPr>
      <w:r w:rsidRPr="000D1EF3">
        <w:rPr>
          <w:sz w:val="24"/>
          <w:szCs w:val="24"/>
        </w:rPr>
        <w:t>Tabelul 7: Transferuri între fonduri care fac obiectul gestiunii partajate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bottom w:w="11" w:type="dxa"/>
          <w:right w:w="57" w:type="dxa"/>
        </w:tblCellMar>
        <w:tblLook w:val="0400" w:firstRow="0" w:lastRow="0" w:firstColumn="0" w:lastColumn="0" w:noHBand="0" w:noVBand="1"/>
      </w:tblPr>
      <w:tblGrid>
        <w:gridCol w:w="4898"/>
        <w:gridCol w:w="1574"/>
        <w:gridCol w:w="1351"/>
        <w:gridCol w:w="1349"/>
        <w:gridCol w:w="1124"/>
        <w:gridCol w:w="1351"/>
        <w:gridCol w:w="1349"/>
        <w:gridCol w:w="1351"/>
        <w:gridCol w:w="1349"/>
      </w:tblGrid>
      <w:tr w:rsidR="00A83083" w:rsidRPr="000D1EF3" w14:paraId="536451B8" w14:textId="77777777" w:rsidTr="00980718">
        <w:tc>
          <w:tcPr>
            <w:tcW w:w="4544" w:type="dxa"/>
            <w:shd w:val="clear" w:color="auto" w:fill="FFFFFF"/>
            <w:vAlign w:val="center"/>
          </w:tcPr>
          <w:p w14:paraId="4E78ED6D" w14:textId="77777777" w:rsidR="00A83083" w:rsidRPr="000D1EF3" w:rsidRDefault="00A83083" w:rsidP="00980718">
            <w:pPr>
              <w:spacing w:after="0"/>
              <w:rPr>
                <w:i/>
                <w:sz w:val="20"/>
                <w:szCs w:val="20"/>
              </w:rPr>
            </w:pPr>
            <w:r w:rsidRPr="000D1EF3">
              <w:rPr>
                <w:i/>
                <w:sz w:val="20"/>
                <w:szCs w:val="20"/>
              </w:rPr>
              <w:t>Fondul/instrumentul care primește</w:t>
            </w:r>
          </w:p>
          <w:p w14:paraId="10394C7C" w14:textId="77777777" w:rsidR="00A83083" w:rsidRPr="000D1EF3" w:rsidRDefault="00A83083" w:rsidP="00980718">
            <w:pPr>
              <w:spacing w:after="0"/>
              <w:rPr>
                <w:i/>
                <w:sz w:val="20"/>
                <w:szCs w:val="20"/>
              </w:rPr>
            </w:pPr>
            <w:r w:rsidRPr="000D1EF3">
              <w:rPr>
                <w:i/>
                <w:sz w:val="20"/>
                <w:szCs w:val="20"/>
              </w:rPr>
              <w:t>Fondul/instrumentul care transferă</w:t>
            </w:r>
          </w:p>
        </w:tc>
        <w:tc>
          <w:tcPr>
            <w:tcW w:w="1461" w:type="dxa"/>
            <w:shd w:val="clear" w:color="auto" w:fill="FFFFFF"/>
            <w:vAlign w:val="center"/>
          </w:tcPr>
          <w:p w14:paraId="0137FB61" w14:textId="77777777" w:rsidR="00A83083" w:rsidRPr="000D1EF3" w:rsidRDefault="00A83083" w:rsidP="00980718">
            <w:pPr>
              <w:spacing w:after="0"/>
              <w:jc w:val="center"/>
              <w:rPr>
                <w:i/>
                <w:sz w:val="20"/>
                <w:szCs w:val="20"/>
              </w:rPr>
            </w:pPr>
            <w:r w:rsidRPr="000D1EF3">
              <w:rPr>
                <w:i/>
                <w:sz w:val="20"/>
                <w:szCs w:val="20"/>
              </w:rPr>
              <w:t>FAMI</w:t>
            </w:r>
          </w:p>
        </w:tc>
        <w:tc>
          <w:tcPr>
            <w:tcW w:w="1253" w:type="dxa"/>
            <w:shd w:val="clear" w:color="auto" w:fill="FFFFFF"/>
            <w:vAlign w:val="center"/>
          </w:tcPr>
          <w:p w14:paraId="5BB372E8" w14:textId="77777777" w:rsidR="00A83083" w:rsidRPr="000D1EF3" w:rsidRDefault="00A83083" w:rsidP="00980718">
            <w:pPr>
              <w:spacing w:after="0"/>
              <w:jc w:val="center"/>
              <w:rPr>
                <w:i/>
                <w:sz w:val="20"/>
                <w:szCs w:val="20"/>
              </w:rPr>
            </w:pPr>
            <w:r w:rsidRPr="000D1EF3">
              <w:rPr>
                <w:i/>
                <w:sz w:val="20"/>
                <w:szCs w:val="20"/>
              </w:rPr>
              <w:t>FSI</w:t>
            </w:r>
          </w:p>
        </w:tc>
        <w:tc>
          <w:tcPr>
            <w:tcW w:w="1251" w:type="dxa"/>
            <w:shd w:val="clear" w:color="auto" w:fill="FFFFFF"/>
            <w:vAlign w:val="center"/>
          </w:tcPr>
          <w:p w14:paraId="0E4C10BE" w14:textId="77777777" w:rsidR="00A83083" w:rsidRPr="000D1EF3" w:rsidRDefault="00A83083" w:rsidP="00980718">
            <w:pPr>
              <w:spacing w:after="0"/>
              <w:rPr>
                <w:i/>
                <w:sz w:val="20"/>
                <w:szCs w:val="20"/>
              </w:rPr>
            </w:pPr>
            <w:r w:rsidRPr="000D1EF3">
              <w:rPr>
                <w:i/>
                <w:sz w:val="20"/>
                <w:szCs w:val="20"/>
              </w:rPr>
              <w:t>IMFV</w:t>
            </w:r>
          </w:p>
        </w:tc>
        <w:tc>
          <w:tcPr>
            <w:tcW w:w="1043" w:type="dxa"/>
            <w:shd w:val="clear" w:color="auto" w:fill="FFFFFF"/>
            <w:vAlign w:val="center"/>
          </w:tcPr>
          <w:p w14:paraId="172AFB87" w14:textId="77777777" w:rsidR="00A83083" w:rsidRPr="000D1EF3" w:rsidRDefault="00A83083" w:rsidP="00980718">
            <w:pPr>
              <w:spacing w:after="0"/>
              <w:rPr>
                <w:i/>
                <w:sz w:val="20"/>
                <w:szCs w:val="20"/>
              </w:rPr>
            </w:pPr>
            <w:r w:rsidRPr="000D1EF3">
              <w:rPr>
                <w:i/>
                <w:sz w:val="20"/>
                <w:szCs w:val="20"/>
              </w:rPr>
              <w:t>FEDR</w:t>
            </w:r>
          </w:p>
        </w:tc>
        <w:tc>
          <w:tcPr>
            <w:tcW w:w="1253" w:type="dxa"/>
            <w:shd w:val="clear" w:color="auto" w:fill="FFFFFF"/>
            <w:vAlign w:val="center"/>
          </w:tcPr>
          <w:p w14:paraId="67002DDA" w14:textId="77777777" w:rsidR="00A83083" w:rsidRPr="000D1EF3" w:rsidRDefault="00A83083" w:rsidP="00980718">
            <w:pPr>
              <w:spacing w:after="0"/>
              <w:rPr>
                <w:i/>
                <w:sz w:val="20"/>
                <w:szCs w:val="20"/>
              </w:rPr>
            </w:pPr>
            <w:r w:rsidRPr="000D1EF3">
              <w:rPr>
                <w:i/>
                <w:sz w:val="20"/>
                <w:szCs w:val="20"/>
              </w:rPr>
              <w:t>FSE+</w:t>
            </w:r>
          </w:p>
        </w:tc>
        <w:tc>
          <w:tcPr>
            <w:tcW w:w="1251" w:type="dxa"/>
            <w:shd w:val="clear" w:color="auto" w:fill="FFFFFF"/>
            <w:vAlign w:val="center"/>
          </w:tcPr>
          <w:p w14:paraId="0CEBECCC" w14:textId="77777777" w:rsidR="00A83083" w:rsidRPr="000D1EF3" w:rsidRDefault="00A83083" w:rsidP="00980718">
            <w:pPr>
              <w:spacing w:after="0"/>
              <w:rPr>
                <w:i/>
                <w:sz w:val="20"/>
                <w:szCs w:val="20"/>
              </w:rPr>
            </w:pPr>
            <w:r w:rsidRPr="000D1EF3">
              <w:rPr>
                <w:i/>
                <w:sz w:val="20"/>
                <w:szCs w:val="20"/>
              </w:rPr>
              <w:t>Fondul de coeziune</w:t>
            </w:r>
          </w:p>
        </w:tc>
        <w:tc>
          <w:tcPr>
            <w:tcW w:w="1253" w:type="dxa"/>
            <w:shd w:val="clear" w:color="auto" w:fill="FFFFFF"/>
            <w:vAlign w:val="center"/>
          </w:tcPr>
          <w:p w14:paraId="51E81777" w14:textId="77777777" w:rsidR="00A83083" w:rsidRPr="000D1EF3" w:rsidRDefault="00A83083" w:rsidP="00980718">
            <w:pPr>
              <w:spacing w:after="0"/>
              <w:rPr>
                <w:i/>
                <w:sz w:val="20"/>
                <w:szCs w:val="20"/>
              </w:rPr>
            </w:pPr>
            <w:r w:rsidRPr="000D1EF3">
              <w:rPr>
                <w:i/>
                <w:sz w:val="20"/>
                <w:szCs w:val="20"/>
              </w:rPr>
              <w:t>FEAMPA</w:t>
            </w:r>
          </w:p>
        </w:tc>
        <w:tc>
          <w:tcPr>
            <w:tcW w:w="1251" w:type="dxa"/>
            <w:shd w:val="clear" w:color="auto" w:fill="FFFFFF"/>
            <w:vAlign w:val="center"/>
          </w:tcPr>
          <w:p w14:paraId="4FD90366" w14:textId="77777777" w:rsidR="00A83083" w:rsidRPr="000D1EF3" w:rsidRDefault="00A83083" w:rsidP="00980718">
            <w:pPr>
              <w:spacing w:after="0"/>
              <w:rPr>
                <w:i/>
                <w:sz w:val="20"/>
                <w:szCs w:val="20"/>
              </w:rPr>
            </w:pPr>
            <w:r w:rsidRPr="000D1EF3">
              <w:rPr>
                <w:i/>
                <w:sz w:val="20"/>
                <w:szCs w:val="20"/>
              </w:rPr>
              <w:t xml:space="preserve">Total </w:t>
            </w:r>
          </w:p>
        </w:tc>
      </w:tr>
      <w:tr w:rsidR="00A83083" w:rsidRPr="000D1EF3" w14:paraId="7BDF3ED6" w14:textId="77777777" w:rsidTr="00980718">
        <w:tc>
          <w:tcPr>
            <w:tcW w:w="4544" w:type="dxa"/>
            <w:shd w:val="clear" w:color="auto" w:fill="FFFFFF"/>
            <w:vAlign w:val="center"/>
          </w:tcPr>
          <w:p w14:paraId="4A9FEEBD" w14:textId="77777777" w:rsidR="00A83083" w:rsidRPr="000D1EF3" w:rsidRDefault="00A83083" w:rsidP="00980718">
            <w:pPr>
              <w:spacing w:after="0"/>
              <w:rPr>
                <w:i/>
                <w:sz w:val="20"/>
                <w:szCs w:val="20"/>
              </w:rPr>
            </w:pPr>
            <w:r w:rsidRPr="000D1EF3">
              <w:rPr>
                <w:i/>
                <w:sz w:val="20"/>
                <w:szCs w:val="20"/>
              </w:rPr>
              <w:t>FAMI</w:t>
            </w:r>
          </w:p>
        </w:tc>
        <w:tc>
          <w:tcPr>
            <w:tcW w:w="1461" w:type="dxa"/>
            <w:shd w:val="clear" w:color="auto" w:fill="BFBFBF"/>
            <w:vAlign w:val="center"/>
          </w:tcPr>
          <w:p w14:paraId="74969BE7" w14:textId="77777777" w:rsidR="00A83083" w:rsidRPr="000D1EF3" w:rsidRDefault="00A83083" w:rsidP="00980718">
            <w:pPr>
              <w:spacing w:after="0"/>
              <w:rPr>
                <w:i/>
                <w:sz w:val="20"/>
                <w:szCs w:val="20"/>
              </w:rPr>
            </w:pPr>
          </w:p>
        </w:tc>
        <w:tc>
          <w:tcPr>
            <w:tcW w:w="1253" w:type="dxa"/>
            <w:shd w:val="clear" w:color="auto" w:fill="FFFFFF"/>
            <w:vAlign w:val="center"/>
          </w:tcPr>
          <w:p w14:paraId="50E7E58D"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6B5E3D25" w14:textId="77777777" w:rsidR="00A83083" w:rsidRPr="000D1EF3" w:rsidRDefault="00A83083" w:rsidP="00980718">
            <w:pPr>
              <w:spacing w:after="0"/>
              <w:rPr>
                <w:i/>
                <w:sz w:val="20"/>
                <w:szCs w:val="20"/>
              </w:rPr>
            </w:pPr>
            <w:r w:rsidRPr="000D1EF3">
              <w:rPr>
                <w:i/>
                <w:sz w:val="20"/>
                <w:szCs w:val="20"/>
              </w:rPr>
              <w:t>0</w:t>
            </w:r>
          </w:p>
        </w:tc>
        <w:tc>
          <w:tcPr>
            <w:tcW w:w="1043" w:type="dxa"/>
            <w:shd w:val="clear" w:color="auto" w:fill="FFFFFF"/>
            <w:vAlign w:val="center"/>
          </w:tcPr>
          <w:p w14:paraId="195C9600"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auto"/>
            <w:vAlign w:val="center"/>
          </w:tcPr>
          <w:p w14:paraId="0FF344A9"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029DC5E4"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79BD5BAB"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7072B6E4" w14:textId="77777777" w:rsidR="00A83083" w:rsidRPr="000D1EF3" w:rsidRDefault="00A83083" w:rsidP="00980718">
            <w:pPr>
              <w:spacing w:after="0"/>
              <w:rPr>
                <w:i/>
                <w:sz w:val="20"/>
                <w:szCs w:val="20"/>
              </w:rPr>
            </w:pPr>
            <w:r w:rsidRPr="000D1EF3">
              <w:rPr>
                <w:i/>
                <w:sz w:val="20"/>
                <w:szCs w:val="20"/>
              </w:rPr>
              <w:t>0</w:t>
            </w:r>
          </w:p>
        </w:tc>
      </w:tr>
      <w:tr w:rsidR="00A83083" w:rsidRPr="000D1EF3" w14:paraId="5F6D2CF1" w14:textId="77777777" w:rsidTr="00980718">
        <w:trPr>
          <w:trHeight w:val="59"/>
        </w:trPr>
        <w:tc>
          <w:tcPr>
            <w:tcW w:w="4544" w:type="dxa"/>
            <w:shd w:val="clear" w:color="auto" w:fill="FFFFFF"/>
            <w:vAlign w:val="center"/>
          </w:tcPr>
          <w:p w14:paraId="3E7A9B3E" w14:textId="77777777" w:rsidR="00A83083" w:rsidRPr="000D1EF3" w:rsidRDefault="00A83083" w:rsidP="00980718">
            <w:pPr>
              <w:spacing w:after="0"/>
              <w:rPr>
                <w:i/>
                <w:sz w:val="20"/>
                <w:szCs w:val="20"/>
              </w:rPr>
            </w:pPr>
            <w:r w:rsidRPr="000D1EF3">
              <w:rPr>
                <w:i/>
                <w:sz w:val="20"/>
                <w:szCs w:val="20"/>
              </w:rPr>
              <w:t>FSI</w:t>
            </w:r>
          </w:p>
        </w:tc>
        <w:tc>
          <w:tcPr>
            <w:tcW w:w="1461" w:type="dxa"/>
            <w:shd w:val="clear" w:color="auto" w:fill="auto"/>
            <w:vAlign w:val="center"/>
          </w:tcPr>
          <w:p w14:paraId="00A26AFA"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BFBFBF"/>
            <w:vAlign w:val="center"/>
          </w:tcPr>
          <w:p w14:paraId="71EE96F0" w14:textId="77777777" w:rsidR="00A83083" w:rsidRPr="000D1EF3" w:rsidRDefault="00A83083" w:rsidP="00980718">
            <w:pPr>
              <w:spacing w:after="0"/>
              <w:rPr>
                <w:i/>
                <w:sz w:val="20"/>
                <w:szCs w:val="20"/>
              </w:rPr>
            </w:pPr>
          </w:p>
        </w:tc>
        <w:tc>
          <w:tcPr>
            <w:tcW w:w="1251" w:type="dxa"/>
            <w:shd w:val="clear" w:color="auto" w:fill="FFFFFF"/>
            <w:vAlign w:val="center"/>
          </w:tcPr>
          <w:p w14:paraId="69217623" w14:textId="77777777" w:rsidR="00A83083" w:rsidRPr="000D1EF3" w:rsidRDefault="00A83083" w:rsidP="00980718">
            <w:pPr>
              <w:spacing w:after="0"/>
              <w:rPr>
                <w:i/>
                <w:sz w:val="20"/>
                <w:szCs w:val="20"/>
              </w:rPr>
            </w:pPr>
            <w:r w:rsidRPr="000D1EF3">
              <w:rPr>
                <w:i/>
                <w:sz w:val="20"/>
                <w:szCs w:val="20"/>
              </w:rPr>
              <w:t>0</w:t>
            </w:r>
          </w:p>
        </w:tc>
        <w:tc>
          <w:tcPr>
            <w:tcW w:w="1043" w:type="dxa"/>
            <w:shd w:val="clear" w:color="auto" w:fill="FFFFFF"/>
            <w:vAlign w:val="center"/>
          </w:tcPr>
          <w:p w14:paraId="43BE1952"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6EDE3B3F"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auto"/>
            <w:vAlign w:val="center"/>
          </w:tcPr>
          <w:p w14:paraId="5E93E5A2"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6ADD5A88"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48E6F5B6" w14:textId="77777777" w:rsidR="00A83083" w:rsidRPr="000D1EF3" w:rsidRDefault="00A83083" w:rsidP="00980718">
            <w:pPr>
              <w:spacing w:after="0"/>
              <w:rPr>
                <w:i/>
                <w:sz w:val="20"/>
                <w:szCs w:val="20"/>
              </w:rPr>
            </w:pPr>
            <w:r w:rsidRPr="000D1EF3">
              <w:rPr>
                <w:i/>
                <w:sz w:val="20"/>
                <w:szCs w:val="20"/>
              </w:rPr>
              <w:t>0</w:t>
            </w:r>
          </w:p>
        </w:tc>
      </w:tr>
      <w:tr w:rsidR="00A83083" w:rsidRPr="000D1EF3" w14:paraId="04942D21" w14:textId="77777777" w:rsidTr="00980718">
        <w:tc>
          <w:tcPr>
            <w:tcW w:w="4544" w:type="dxa"/>
            <w:shd w:val="clear" w:color="auto" w:fill="FFFFFF"/>
            <w:vAlign w:val="center"/>
          </w:tcPr>
          <w:p w14:paraId="7A6213FB" w14:textId="77777777" w:rsidR="00A83083" w:rsidRPr="000D1EF3" w:rsidRDefault="00A83083" w:rsidP="00980718">
            <w:pPr>
              <w:spacing w:after="0"/>
              <w:rPr>
                <w:i/>
                <w:sz w:val="20"/>
                <w:szCs w:val="20"/>
              </w:rPr>
            </w:pPr>
            <w:r w:rsidRPr="000D1EF3">
              <w:rPr>
                <w:i/>
                <w:sz w:val="20"/>
                <w:szCs w:val="20"/>
              </w:rPr>
              <w:t>IMFV</w:t>
            </w:r>
          </w:p>
        </w:tc>
        <w:tc>
          <w:tcPr>
            <w:tcW w:w="1461" w:type="dxa"/>
            <w:shd w:val="clear" w:color="auto" w:fill="auto"/>
            <w:vAlign w:val="center"/>
          </w:tcPr>
          <w:p w14:paraId="1FA57CBF"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2AAF68E8"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BFBFBF"/>
            <w:vAlign w:val="center"/>
          </w:tcPr>
          <w:p w14:paraId="265844A1" w14:textId="77777777" w:rsidR="00A83083" w:rsidRPr="000D1EF3" w:rsidRDefault="00A83083" w:rsidP="00980718">
            <w:pPr>
              <w:spacing w:after="0"/>
              <w:rPr>
                <w:i/>
                <w:sz w:val="20"/>
                <w:szCs w:val="20"/>
              </w:rPr>
            </w:pPr>
          </w:p>
        </w:tc>
        <w:tc>
          <w:tcPr>
            <w:tcW w:w="1043" w:type="dxa"/>
            <w:shd w:val="clear" w:color="auto" w:fill="FFFFFF"/>
            <w:vAlign w:val="center"/>
          </w:tcPr>
          <w:p w14:paraId="234D9EBF"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73CFB916"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02FC6793"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auto"/>
            <w:vAlign w:val="center"/>
          </w:tcPr>
          <w:p w14:paraId="281E1924"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25B75066" w14:textId="77777777" w:rsidR="00A83083" w:rsidRPr="000D1EF3" w:rsidRDefault="00A83083" w:rsidP="00980718">
            <w:pPr>
              <w:spacing w:after="0"/>
              <w:rPr>
                <w:i/>
                <w:sz w:val="20"/>
                <w:szCs w:val="20"/>
              </w:rPr>
            </w:pPr>
            <w:r w:rsidRPr="000D1EF3">
              <w:rPr>
                <w:i/>
                <w:sz w:val="20"/>
                <w:szCs w:val="20"/>
              </w:rPr>
              <w:t>0</w:t>
            </w:r>
          </w:p>
        </w:tc>
      </w:tr>
      <w:tr w:rsidR="00A83083" w:rsidRPr="000D1EF3" w14:paraId="788839B7" w14:textId="77777777" w:rsidTr="00980718">
        <w:tc>
          <w:tcPr>
            <w:tcW w:w="4544" w:type="dxa"/>
            <w:shd w:val="clear" w:color="auto" w:fill="FFFFFF"/>
            <w:vAlign w:val="center"/>
          </w:tcPr>
          <w:p w14:paraId="4393F6D2" w14:textId="77777777" w:rsidR="00A83083" w:rsidRPr="000D1EF3" w:rsidRDefault="00A83083" w:rsidP="00980718">
            <w:pPr>
              <w:spacing w:after="0"/>
              <w:rPr>
                <w:i/>
                <w:sz w:val="20"/>
                <w:szCs w:val="20"/>
              </w:rPr>
            </w:pPr>
            <w:r w:rsidRPr="000D1EF3">
              <w:rPr>
                <w:i/>
                <w:sz w:val="20"/>
                <w:szCs w:val="20"/>
              </w:rPr>
              <w:t>Total</w:t>
            </w:r>
          </w:p>
        </w:tc>
        <w:tc>
          <w:tcPr>
            <w:tcW w:w="1461" w:type="dxa"/>
            <w:shd w:val="clear" w:color="auto" w:fill="auto"/>
            <w:vAlign w:val="center"/>
          </w:tcPr>
          <w:p w14:paraId="1E70BA19"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65A00275"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468B373E" w14:textId="77777777" w:rsidR="00A83083" w:rsidRPr="000D1EF3" w:rsidRDefault="00A83083" w:rsidP="00980718">
            <w:pPr>
              <w:spacing w:after="0"/>
              <w:rPr>
                <w:i/>
                <w:sz w:val="20"/>
                <w:szCs w:val="20"/>
              </w:rPr>
            </w:pPr>
            <w:r w:rsidRPr="000D1EF3">
              <w:rPr>
                <w:i/>
                <w:sz w:val="20"/>
                <w:szCs w:val="20"/>
              </w:rPr>
              <w:t>0</w:t>
            </w:r>
          </w:p>
        </w:tc>
        <w:tc>
          <w:tcPr>
            <w:tcW w:w="1043" w:type="dxa"/>
            <w:shd w:val="clear" w:color="auto" w:fill="FFFFFF"/>
            <w:vAlign w:val="center"/>
          </w:tcPr>
          <w:p w14:paraId="65D31F36"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FFFFFF"/>
            <w:vAlign w:val="center"/>
          </w:tcPr>
          <w:p w14:paraId="6F6144B7"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FFFFFF"/>
            <w:vAlign w:val="center"/>
          </w:tcPr>
          <w:p w14:paraId="0196021E" w14:textId="77777777" w:rsidR="00A83083" w:rsidRPr="000D1EF3" w:rsidRDefault="00A83083" w:rsidP="00980718">
            <w:pPr>
              <w:spacing w:after="0"/>
              <w:rPr>
                <w:i/>
                <w:sz w:val="20"/>
                <w:szCs w:val="20"/>
              </w:rPr>
            </w:pPr>
            <w:r w:rsidRPr="000D1EF3">
              <w:rPr>
                <w:i/>
                <w:sz w:val="20"/>
                <w:szCs w:val="20"/>
              </w:rPr>
              <w:t>0</w:t>
            </w:r>
          </w:p>
        </w:tc>
        <w:tc>
          <w:tcPr>
            <w:tcW w:w="1253" w:type="dxa"/>
            <w:shd w:val="clear" w:color="auto" w:fill="auto"/>
            <w:vAlign w:val="center"/>
          </w:tcPr>
          <w:p w14:paraId="72DBE015" w14:textId="77777777" w:rsidR="00A83083" w:rsidRPr="000D1EF3" w:rsidRDefault="00A83083" w:rsidP="00980718">
            <w:pPr>
              <w:spacing w:after="0"/>
              <w:rPr>
                <w:i/>
                <w:sz w:val="20"/>
                <w:szCs w:val="20"/>
              </w:rPr>
            </w:pPr>
            <w:r w:rsidRPr="000D1EF3">
              <w:rPr>
                <w:i/>
                <w:sz w:val="20"/>
                <w:szCs w:val="20"/>
              </w:rPr>
              <w:t>0</w:t>
            </w:r>
          </w:p>
        </w:tc>
        <w:tc>
          <w:tcPr>
            <w:tcW w:w="1251" w:type="dxa"/>
            <w:shd w:val="clear" w:color="auto" w:fill="auto"/>
            <w:vAlign w:val="center"/>
          </w:tcPr>
          <w:p w14:paraId="783085C1" w14:textId="77777777" w:rsidR="00A83083" w:rsidRPr="000D1EF3" w:rsidRDefault="00A83083" w:rsidP="00980718">
            <w:pPr>
              <w:spacing w:after="0"/>
              <w:rPr>
                <w:i/>
                <w:sz w:val="20"/>
                <w:szCs w:val="20"/>
              </w:rPr>
            </w:pPr>
            <w:r w:rsidRPr="000D1EF3">
              <w:rPr>
                <w:i/>
                <w:sz w:val="20"/>
                <w:szCs w:val="20"/>
              </w:rPr>
              <w:t>0</w:t>
            </w:r>
          </w:p>
        </w:tc>
      </w:tr>
    </w:tbl>
    <w:p w14:paraId="1D1B2462" w14:textId="77777777" w:rsidR="00A83083" w:rsidRPr="000D1EF3" w:rsidRDefault="00A83083" w:rsidP="00A83083">
      <w:pPr>
        <w:spacing w:after="120" w:line="240" w:lineRule="auto"/>
        <w:rPr>
          <w:i/>
          <w:sz w:val="20"/>
          <w:szCs w:val="20"/>
        </w:rPr>
      </w:pPr>
    </w:p>
    <w:p w14:paraId="354F83AB" w14:textId="77777777" w:rsidR="00A83083" w:rsidRPr="000D1EF3" w:rsidRDefault="00A83083" w:rsidP="00A83083">
      <w:pPr>
        <w:spacing w:after="120" w:line="240" w:lineRule="auto"/>
        <w:rPr>
          <w:i/>
          <w:sz w:val="20"/>
          <w:szCs w:val="20"/>
        </w:rPr>
      </w:pPr>
      <w:r w:rsidRPr="000D1EF3">
        <w:t xml:space="preserve">Tabelul 8: Transferuri către instrumente care fac obiectul gestiunii directe sau indirecte </w:t>
      </w:r>
      <w:r w:rsidRPr="000D1EF3">
        <w:rPr>
          <w:sz w:val="24"/>
          <w:szCs w:val="24"/>
        </w:rPr>
        <w:t>*1</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12493"/>
        <w:gridCol w:w="3203"/>
      </w:tblGrid>
      <w:tr w:rsidR="00812FFF" w:rsidRPr="000D1EF3" w14:paraId="3552D10E" w14:textId="77777777" w:rsidTr="00980718">
        <w:trPr>
          <w:trHeight w:val="147"/>
        </w:trPr>
        <w:tc>
          <w:tcPr>
            <w:tcW w:w="11641" w:type="dxa"/>
          </w:tcPr>
          <w:p w14:paraId="467AF636" w14:textId="77777777" w:rsidR="00A83083" w:rsidRPr="000D1EF3" w:rsidRDefault="00A83083" w:rsidP="00980718">
            <w:pPr>
              <w:spacing w:after="0" w:line="240" w:lineRule="auto"/>
              <w:rPr>
                <w:i/>
                <w:sz w:val="20"/>
                <w:szCs w:val="20"/>
              </w:rPr>
            </w:pPr>
            <w:r w:rsidRPr="000D1EF3">
              <w:lastRenderedPageBreak/>
              <w:t>Tabelul 8: Transferuri către instrumente care fac obiectul gestiunii directe sau indirecte</w:t>
            </w:r>
          </w:p>
        </w:tc>
        <w:tc>
          <w:tcPr>
            <w:tcW w:w="2984" w:type="dxa"/>
          </w:tcPr>
          <w:p w14:paraId="76444D35" w14:textId="77777777" w:rsidR="00A83083" w:rsidRPr="000D1EF3" w:rsidRDefault="00A83083" w:rsidP="00980718">
            <w:pPr>
              <w:spacing w:after="0" w:line="240" w:lineRule="auto"/>
              <w:rPr>
                <w:i/>
                <w:sz w:val="20"/>
                <w:szCs w:val="20"/>
              </w:rPr>
            </w:pPr>
            <w:r w:rsidRPr="000D1EF3">
              <w:rPr>
                <w:i/>
                <w:sz w:val="20"/>
                <w:szCs w:val="20"/>
              </w:rPr>
              <w:t xml:space="preserve">Cuantumul transferului </w:t>
            </w:r>
          </w:p>
        </w:tc>
      </w:tr>
      <w:tr w:rsidR="00812FFF" w:rsidRPr="000D1EF3" w14:paraId="04580327" w14:textId="77777777" w:rsidTr="00980718">
        <w:trPr>
          <w:trHeight w:val="234"/>
        </w:trPr>
        <w:tc>
          <w:tcPr>
            <w:tcW w:w="11641" w:type="dxa"/>
          </w:tcPr>
          <w:p w14:paraId="452AE804" w14:textId="77777777" w:rsidR="00A83083" w:rsidRPr="000D1EF3" w:rsidRDefault="00A83083" w:rsidP="00980718">
            <w:pPr>
              <w:spacing w:after="0" w:line="240" w:lineRule="auto"/>
              <w:rPr>
                <w:i/>
                <w:sz w:val="20"/>
                <w:szCs w:val="20"/>
              </w:rPr>
            </w:pPr>
            <w:r w:rsidRPr="000D1EF3">
              <w:rPr>
                <w:i/>
                <w:sz w:val="20"/>
                <w:szCs w:val="20"/>
              </w:rPr>
              <w:t>Instrumentul 1 [denumire]</w:t>
            </w:r>
          </w:p>
        </w:tc>
        <w:tc>
          <w:tcPr>
            <w:tcW w:w="2984" w:type="dxa"/>
          </w:tcPr>
          <w:p w14:paraId="1A13CACE" w14:textId="77777777" w:rsidR="00A83083" w:rsidRPr="000D1EF3" w:rsidRDefault="00A83083" w:rsidP="00980718">
            <w:pPr>
              <w:spacing w:after="0" w:line="240" w:lineRule="auto"/>
              <w:jc w:val="right"/>
              <w:rPr>
                <w:bCs/>
                <w:iCs/>
                <w:sz w:val="20"/>
                <w:szCs w:val="20"/>
              </w:rPr>
            </w:pPr>
            <w:r w:rsidRPr="000D1EF3">
              <w:rPr>
                <w:bCs/>
                <w:iCs/>
                <w:sz w:val="20"/>
                <w:szCs w:val="20"/>
              </w:rPr>
              <w:t>0</w:t>
            </w:r>
          </w:p>
        </w:tc>
      </w:tr>
      <w:tr w:rsidR="00812FFF" w:rsidRPr="000D1EF3" w14:paraId="4DB9894F" w14:textId="77777777" w:rsidTr="00980718">
        <w:trPr>
          <w:trHeight w:val="42"/>
        </w:trPr>
        <w:tc>
          <w:tcPr>
            <w:tcW w:w="11641" w:type="dxa"/>
          </w:tcPr>
          <w:p w14:paraId="3F7D9921" w14:textId="77777777" w:rsidR="00A83083" w:rsidRPr="000D1EF3" w:rsidRDefault="00A83083" w:rsidP="00980718">
            <w:pPr>
              <w:spacing w:after="0" w:line="240" w:lineRule="auto"/>
              <w:rPr>
                <w:i/>
                <w:sz w:val="20"/>
                <w:szCs w:val="20"/>
              </w:rPr>
            </w:pPr>
            <w:r w:rsidRPr="000D1EF3">
              <w:rPr>
                <w:i/>
                <w:sz w:val="20"/>
                <w:szCs w:val="20"/>
              </w:rPr>
              <w:t>Instrumentul 1 [denumire]</w:t>
            </w:r>
          </w:p>
        </w:tc>
        <w:tc>
          <w:tcPr>
            <w:tcW w:w="2984" w:type="dxa"/>
          </w:tcPr>
          <w:p w14:paraId="50685609" w14:textId="77777777" w:rsidR="00A83083" w:rsidRPr="000D1EF3" w:rsidRDefault="00A83083" w:rsidP="00980718">
            <w:pPr>
              <w:spacing w:after="0" w:line="240" w:lineRule="auto"/>
              <w:jc w:val="right"/>
              <w:rPr>
                <w:bCs/>
                <w:iCs/>
                <w:sz w:val="20"/>
                <w:szCs w:val="20"/>
              </w:rPr>
            </w:pPr>
            <w:r w:rsidRPr="000D1EF3">
              <w:rPr>
                <w:bCs/>
                <w:iCs/>
                <w:sz w:val="20"/>
                <w:szCs w:val="20"/>
              </w:rPr>
              <w:t>0</w:t>
            </w:r>
          </w:p>
        </w:tc>
      </w:tr>
      <w:tr w:rsidR="00812FFF" w:rsidRPr="000D1EF3" w14:paraId="6E8782A3" w14:textId="77777777" w:rsidTr="00980718">
        <w:trPr>
          <w:trHeight w:val="151"/>
        </w:trPr>
        <w:tc>
          <w:tcPr>
            <w:tcW w:w="11641" w:type="dxa"/>
          </w:tcPr>
          <w:p w14:paraId="61D58712" w14:textId="77777777" w:rsidR="00A83083" w:rsidRPr="000D1EF3" w:rsidRDefault="00A83083" w:rsidP="00980718">
            <w:pPr>
              <w:spacing w:after="0" w:line="240" w:lineRule="auto"/>
              <w:rPr>
                <w:i/>
                <w:sz w:val="20"/>
                <w:szCs w:val="20"/>
              </w:rPr>
            </w:pPr>
            <w:r w:rsidRPr="000D1EF3">
              <w:rPr>
                <w:i/>
                <w:sz w:val="20"/>
                <w:szCs w:val="20"/>
              </w:rPr>
              <w:t>Total</w:t>
            </w:r>
          </w:p>
        </w:tc>
        <w:tc>
          <w:tcPr>
            <w:tcW w:w="2984" w:type="dxa"/>
          </w:tcPr>
          <w:p w14:paraId="57ABA28B" w14:textId="77777777" w:rsidR="00A83083" w:rsidRPr="000D1EF3" w:rsidRDefault="00A83083" w:rsidP="00980718">
            <w:pPr>
              <w:spacing w:after="0" w:line="240" w:lineRule="auto"/>
              <w:jc w:val="right"/>
              <w:rPr>
                <w:bCs/>
                <w:iCs/>
                <w:sz w:val="20"/>
                <w:szCs w:val="20"/>
              </w:rPr>
            </w:pPr>
            <w:r w:rsidRPr="000D1EF3">
              <w:rPr>
                <w:bCs/>
                <w:iCs/>
                <w:sz w:val="20"/>
                <w:szCs w:val="20"/>
              </w:rPr>
              <w:t>0</w:t>
            </w:r>
          </w:p>
        </w:tc>
      </w:tr>
    </w:tbl>
    <w:p w14:paraId="5FABA6BE" w14:textId="77777777" w:rsidR="00A83083" w:rsidRPr="000D1EF3" w:rsidRDefault="00A83083" w:rsidP="00A83083">
      <w:pPr>
        <w:spacing w:after="120" w:line="240" w:lineRule="auto"/>
        <w:rPr>
          <w:b/>
          <w:sz w:val="20"/>
          <w:szCs w:val="20"/>
        </w:rPr>
      </w:pPr>
    </w:p>
    <w:p w14:paraId="5728A6DB" w14:textId="77777777" w:rsidR="00A83083" w:rsidRPr="000D1EF3" w:rsidRDefault="00A83083" w:rsidP="00A83083">
      <w:pPr>
        <w:spacing w:after="120" w:line="240" w:lineRule="auto"/>
        <w:rPr>
          <w:b/>
          <w:sz w:val="20"/>
          <w:szCs w:val="20"/>
        </w:rPr>
      </w:pPr>
    </w:p>
    <w:p w14:paraId="4D96059C" w14:textId="77777777" w:rsidR="00A83083" w:rsidRPr="000D1EF3" w:rsidRDefault="00A83083" w:rsidP="00A83083">
      <w:pPr>
        <w:spacing w:after="0" w:line="240" w:lineRule="auto"/>
        <w:sectPr w:rsidR="00A83083" w:rsidRPr="000D1EF3" w:rsidSect="00812FFF">
          <w:pgSz w:w="16840" w:h="11907" w:code="9"/>
          <w:pgMar w:top="1134" w:right="567" w:bottom="1134" w:left="567" w:header="567" w:footer="567" w:gutter="0"/>
          <w:cols w:space="720"/>
        </w:sectPr>
      </w:pPr>
      <w:r w:rsidRPr="000D1EF3">
        <w:t>*1 Cuantumuri cumulate pentru toate transferurile pe parcursul perioadei de programare.</w:t>
      </w:r>
    </w:p>
    <w:p w14:paraId="00000442" w14:textId="1184C528" w:rsidR="00C62A9B" w:rsidRPr="000D1EF3" w:rsidRDefault="00D11CD4" w:rsidP="00E43440">
      <w:pPr>
        <w:pStyle w:val="Heading1"/>
      </w:pPr>
      <w:bookmarkStart w:id="37" w:name="_Toc78795683"/>
      <w:r w:rsidRPr="000D1EF3">
        <w:lastRenderedPageBreak/>
        <w:t>4. Condi</w:t>
      </w:r>
      <w:r w:rsidR="00812FFF" w:rsidRPr="000D1EF3">
        <w:t>ț</w:t>
      </w:r>
      <w:r w:rsidRPr="000D1EF3">
        <w:t>ii favorizante</w:t>
      </w:r>
      <w:bookmarkEnd w:id="37"/>
      <w:r w:rsidRPr="000D1EF3">
        <w:t xml:space="preserve"> </w:t>
      </w:r>
    </w:p>
    <w:p w14:paraId="00000443"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(3) litera (i) din RDC</w:t>
      </w:r>
    </w:p>
    <w:p w14:paraId="00000444" w14:textId="34730EE2" w:rsidR="00C62A9B" w:rsidRPr="000D1EF3" w:rsidRDefault="00D11CD4">
      <w:pPr>
        <w:spacing w:after="120" w:line="240" w:lineRule="auto"/>
        <w:rPr>
          <w:rFonts w:asciiTheme="majorHAnsi" w:hAnsiTheme="majorHAnsi" w:cstheme="majorHAnsi"/>
          <w:b/>
          <w:sz w:val="24"/>
          <w:szCs w:val="24"/>
        </w:rPr>
      </w:pPr>
      <w:r w:rsidRPr="000D1EF3">
        <w:rPr>
          <w:rFonts w:asciiTheme="majorHAnsi" w:hAnsiTheme="majorHAnsi" w:cstheme="majorHAnsi"/>
          <w:b/>
          <w:sz w:val="24"/>
          <w:szCs w:val="24"/>
        </w:rPr>
        <w:t>Tabelul 9: Condi</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ii favorizante orizontale</w:t>
      </w:r>
    </w:p>
    <w:tbl>
      <w:tblPr>
        <w:tblStyle w:val="ae"/>
        <w:tblW w:w="15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50"/>
        <w:gridCol w:w="3343"/>
        <w:gridCol w:w="900"/>
        <w:gridCol w:w="1755"/>
        <w:gridCol w:w="6060"/>
      </w:tblGrid>
      <w:tr w:rsidR="00C62A9B" w:rsidRPr="000D1EF3" w14:paraId="0BC67D63" w14:textId="77777777">
        <w:tc>
          <w:tcPr>
            <w:tcW w:w="15030" w:type="dxa"/>
            <w:gridSpan w:val="6"/>
          </w:tcPr>
          <w:p w14:paraId="00000445" w14:textId="77777777" w:rsidR="00C62A9B" w:rsidRPr="000D1EF3" w:rsidRDefault="00C62A9B">
            <w:pPr>
              <w:pBdr>
                <w:top w:val="nil"/>
                <w:left w:val="nil"/>
                <w:bottom w:val="nil"/>
                <w:right w:val="nil"/>
                <w:between w:val="nil"/>
              </w:pBdr>
              <w:spacing w:after="120"/>
              <w:rPr>
                <w:rFonts w:asciiTheme="majorHAnsi" w:hAnsiTheme="majorHAnsi" w:cstheme="majorHAnsi"/>
                <w:b/>
                <w:sz w:val="24"/>
                <w:szCs w:val="24"/>
              </w:rPr>
            </w:pPr>
          </w:p>
        </w:tc>
      </w:tr>
      <w:tr w:rsidR="00C62A9B" w:rsidRPr="000D1EF3" w14:paraId="58C505EC" w14:textId="77777777" w:rsidTr="00A83083">
        <w:tc>
          <w:tcPr>
            <w:tcW w:w="2122" w:type="dxa"/>
          </w:tcPr>
          <w:p w14:paraId="0000044B" w14:textId="77ACBA03"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Condi</w:t>
            </w:r>
            <w:r w:rsidR="00812FFF" w:rsidRPr="009066F9">
              <w:rPr>
                <w:rFonts w:asciiTheme="majorHAnsi" w:hAnsiTheme="majorHAnsi" w:cstheme="majorHAnsi"/>
                <w:b/>
                <w:sz w:val="20"/>
                <w:szCs w:val="20"/>
              </w:rPr>
              <w:t>ț</w:t>
            </w:r>
            <w:r w:rsidRPr="009066F9">
              <w:rPr>
                <w:rFonts w:asciiTheme="majorHAnsi" w:hAnsiTheme="majorHAnsi" w:cstheme="majorHAnsi"/>
                <w:b/>
                <w:sz w:val="20"/>
                <w:szCs w:val="20"/>
              </w:rPr>
              <w:t>ie favorizantă</w:t>
            </w:r>
          </w:p>
        </w:tc>
        <w:tc>
          <w:tcPr>
            <w:tcW w:w="850" w:type="dxa"/>
          </w:tcPr>
          <w:p w14:paraId="0000044C" w14:textId="2C39EB3E"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Îndeplinirea condi</w:t>
            </w:r>
            <w:r w:rsidR="00812FFF" w:rsidRPr="009066F9">
              <w:rPr>
                <w:rFonts w:asciiTheme="majorHAnsi" w:hAnsiTheme="majorHAnsi" w:cstheme="majorHAnsi"/>
                <w:b/>
                <w:sz w:val="20"/>
                <w:szCs w:val="20"/>
              </w:rPr>
              <w:t>ț</w:t>
            </w:r>
            <w:r w:rsidRPr="009066F9">
              <w:rPr>
                <w:rFonts w:asciiTheme="majorHAnsi" w:hAnsiTheme="majorHAnsi" w:cstheme="majorHAnsi"/>
                <w:b/>
                <w:sz w:val="20"/>
                <w:szCs w:val="20"/>
              </w:rPr>
              <w:t xml:space="preserve">iei favorizante </w:t>
            </w:r>
          </w:p>
        </w:tc>
        <w:tc>
          <w:tcPr>
            <w:tcW w:w="3343" w:type="dxa"/>
          </w:tcPr>
          <w:p w14:paraId="0000044D" w14:textId="77777777"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 xml:space="preserve">Criterii </w:t>
            </w:r>
          </w:p>
        </w:tc>
        <w:tc>
          <w:tcPr>
            <w:tcW w:w="900" w:type="dxa"/>
          </w:tcPr>
          <w:p w14:paraId="0000044E" w14:textId="77777777"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Îndeplinirea criteriilor</w:t>
            </w:r>
          </w:p>
        </w:tc>
        <w:tc>
          <w:tcPr>
            <w:tcW w:w="1755" w:type="dxa"/>
          </w:tcPr>
          <w:p w14:paraId="0000044F" w14:textId="77777777"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 xml:space="preserve">Trimitere la documentele relevante </w:t>
            </w:r>
          </w:p>
        </w:tc>
        <w:tc>
          <w:tcPr>
            <w:tcW w:w="6060" w:type="dxa"/>
          </w:tcPr>
          <w:p w14:paraId="00000450" w14:textId="77777777" w:rsidR="00C62A9B" w:rsidRPr="009066F9" w:rsidRDefault="00D11CD4">
            <w:pPr>
              <w:pBdr>
                <w:top w:val="nil"/>
                <w:left w:val="nil"/>
                <w:bottom w:val="nil"/>
                <w:right w:val="nil"/>
                <w:between w:val="nil"/>
              </w:pBdr>
              <w:spacing w:after="120"/>
              <w:jc w:val="center"/>
              <w:rPr>
                <w:rFonts w:asciiTheme="majorHAnsi" w:hAnsiTheme="majorHAnsi" w:cstheme="majorHAnsi"/>
                <w:b/>
                <w:sz w:val="20"/>
                <w:szCs w:val="20"/>
              </w:rPr>
            </w:pPr>
            <w:r w:rsidRPr="009066F9">
              <w:rPr>
                <w:rFonts w:asciiTheme="majorHAnsi" w:hAnsiTheme="majorHAnsi" w:cstheme="majorHAnsi"/>
                <w:b/>
                <w:sz w:val="20"/>
                <w:szCs w:val="20"/>
              </w:rPr>
              <w:t>Justificare</w:t>
            </w:r>
          </w:p>
        </w:tc>
      </w:tr>
      <w:tr w:rsidR="00C62A9B" w:rsidRPr="000D1EF3" w14:paraId="1981091A" w14:textId="77777777" w:rsidTr="00A83083">
        <w:tc>
          <w:tcPr>
            <w:tcW w:w="2122" w:type="dxa"/>
            <w:vMerge w:val="restart"/>
          </w:tcPr>
          <w:p w14:paraId="00000451" w14:textId="1CA161C8" w:rsidR="00C62A9B" w:rsidRPr="000D1EF3" w:rsidRDefault="00D11CD4">
            <w:pPr>
              <w:rPr>
                <w:rFonts w:asciiTheme="majorHAnsi" w:hAnsiTheme="majorHAnsi" w:cstheme="majorHAnsi"/>
                <w:b/>
                <w:i/>
                <w:sz w:val="24"/>
                <w:szCs w:val="24"/>
              </w:rPr>
            </w:pPr>
            <w:r w:rsidRPr="000D1EF3">
              <w:rPr>
                <w:rFonts w:asciiTheme="majorHAnsi" w:hAnsiTheme="majorHAnsi" w:cstheme="majorHAnsi"/>
                <w:b/>
                <w:i/>
                <w:sz w:val="24"/>
                <w:szCs w:val="24"/>
              </w:rPr>
              <w:t xml:space="preserve">Mecanisme eficiente de monitorizare a </w:t>
            </w:r>
            <w:r w:rsidR="00AC653C" w:rsidRPr="000D1EF3">
              <w:rPr>
                <w:rFonts w:asciiTheme="majorHAnsi" w:hAnsiTheme="majorHAnsi" w:cstheme="majorHAnsi"/>
                <w:b/>
                <w:i/>
                <w:sz w:val="24"/>
                <w:szCs w:val="24"/>
              </w:rPr>
              <w:t>pie</w:t>
            </w:r>
            <w:r w:rsidR="00812FFF" w:rsidRPr="000D1EF3">
              <w:rPr>
                <w:rFonts w:asciiTheme="majorHAnsi" w:hAnsiTheme="majorHAnsi" w:cstheme="majorHAnsi"/>
                <w:b/>
                <w:i/>
                <w:sz w:val="24"/>
                <w:szCs w:val="24"/>
              </w:rPr>
              <w:t>ț</w:t>
            </w:r>
            <w:r w:rsidR="00AC653C" w:rsidRPr="000D1EF3">
              <w:rPr>
                <w:rFonts w:asciiTheme="majorHAnsi" w:hAnsiTheme="majorHAnsi" w:cstheme="majorHAnsi"/>
                <w:b/>
                <w:i/>
                <w:sz w:val="24"/>
                <w:szCs w:val="24"/>
              </w:rPr>
              <w:t>ei</w:t>
            </w:r>
            <w:r w:rsidRPr="000D1EF3">
              <w:rPr>
                <w:rFonts w:asciiTheme="majorHAnsi" w:hAnsiTheme="majorHAnsi" w:cstheme="majorHAnsi"/>
                <w:b/>
                <w:i/>
                <w:sz w:val="24"/>
                <w:szCs w:val="24"/>
              </w:rPr>
              <w:t xml:space="preserve"> </w:t>
            </w:r>
            <w:r w:rsidR="00AC653C" w:rsidRPr="000D1EF3">
              <w:rPr>
                <w:rFonts w:asciiTheme="majorHAnsi" w:hAnsiTheme="majorHAnsi" w:cstheme="majorHAnsi"/>
                <w:b/>
                <w:i/>
                <w:sz w:val="24"/>
                <w:szCs w:val="24"/>
              </w:rPr>
              <w:t>achizi</w:t>
            </w:r>
            <w:r w:rsidR="00812FFF" w:rsidRPr="000D1EF3">
              <w:rPr>
                <w:rFonts w:asciiTheme="majorHAnsi" w:hAnsiTheme="majorHAnsi" w:cstheme="majorHAnsi"/>
                <w:b/>
                <w:i/>
                <w:sz w:val="24"/>
                <w:szCs w:val="24"/>
              </w:rPr>
              <w:t>ț</w:t>
            </w:r>
            <w:r w:rsidR="00AC653C" w:rsidRPr="000D1EF3">
              <w:rPr>
                <w:rFonts w:asciiTheme="majorHAnsi" w:hAnsiTheme="majorHAnsi" w:cstheme="majorHAnsi"/>
                <w:b/>
                <w:i/>
                <w:sz w:val="24"/>
                <w:szCs w:val="24"/>
              </w:rPr>
              <w:t>iilor</w:t>
            </w:r>
            <w:r w:rsidRPr="000D1EF3">
              <w:rPr>
                <w:rFonts w:asciiTheme="majorHAnsi" w:hAnsiTheme="majorHAnsi" w:cstheme="majorHAnsi"/>
                <w:b/>
                <w:i/>
                <w:sz w:val="24"/>
                <w:szCs w:val="24"/>
              </w:rPr>
              <w:t xml:space="preserve"> publice</w:t>
            </w:r>
          </w:p>
        </w:tc>
        <w:tc>
          <w:tcPr>
            <w:tcW w:w="850" w:type="dxa"/>
            <w:vMerge w:val="restart"/>
          </w:tcPr>
          <w:p w14:paraId="00000452"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3343" w:type="dxa"/>
          </w:tcPr>
          <w:p w14:paraId="00000453" w14:textId="7631C8A5" w:rsidR="00C62A9B" w:rsidRPr="000D1EF3" w:rsidRDefault="00D11CD4">
            <w:pPr>
              <w:rPr>
                <w:rFonts w:asciiTheme="majorHAnsi" w:hAnsiTheme="majorHAnsi" w:cstheme="majorHAnsi"/>
                <w:i/>
                <w:sz w:val="24"/>
                <w:szCs w:val="24"/>
              </w:rPr>
            </w:pPr>
            <w:r w:rsidRPr="000D1EF3">
              <w:rPr>
                <w:rFonts w:asciiTheme="majorHAnsi" w:hAnsiTheme="majorHAnsi" w:cstheme="majorHAnsi"/>
                <w:i/>
                <w:sz w:val="24"/>
                <w:szCs w:val="24"/>
              </w:rPr>
              <w:t xml:space="preserve">Există mecanisme de monitorizare care acoperă toate contractele de </w:t>
            </w:r>
            <w:r w:rsidR="00AC653C" w:rsidRPr="000D1EF3">
              <w:rPr>
                <w:rFonts w:asciiTheme="majorHAnsi" w:hAnsiTheme="majorHAnsi" w:cstheme="majorHAnsi"/>
                <w:i/>
                <w:sz w:val="24"/>
                <w:szCs w:val="24"/>
              </w:rPr>
              <w:t>achizi</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ie</w:t>
            </w:r>
            <w:r w:rsidRPr="000D1EF3">
              <w:rPr>
                <w:rFonts w:asciiTheme="majorHAnsi" w:hAnsiTheme="majorHAnsi" w:cstheme="majorHAnsi"/>
                <w:i/>
                <w:sz w:val="24"/>
                <w:szCs w:val="24"/>
              </w:rPr>
              <w:t xml:space="preserve"> din fonduri, în acord cu </w:t>
            </w:r>
            <w:r w:rsidR="00AC653C" w:rsidRPr="000D1EF3">
              <w:rPr>
                <w:rFonts w:asciiTheme="majorHAnsi" w:hAnsiTheme="majorHAnsi" w:cstheme="majorHAnsi"/>
                <w:i/>
                <w:sz w:val="24"/>
                <w:szCs w:val="24"/>
              </w:rPr>
              <w:t>legisla</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ia</w:t>
            </w:r>
            <w:r w:rsidRPr="000D1EF3">
              <w:rPr>
                <w:rFonts w:asciiTheme="majorHAnsi" w:hAnsiTheme="majorHAnsi" w:cstheme="majorHAnsi"/>
                <w:i/>
                <w:sz w:val="24"/>
                <w:szCs w:val="24"/>
              </w:rPr>
              <w:t xml:space="preserve"> UE privind </w:t>
            </w:r>
            <w:r w:rsidR="00AC653C" w:rsidRPr="000D1EF3">
              <w:rPr>
                <w:rFonts w:asciiTheme="majorHAnsi" w:hAnsiTheme="majorHAnsi" w:cstheme="majorHAnsi"/>
                <w:i/>
                <w:sz w:val="24"/>
                <w:szCs w:val="24"/>
              </w:rPr>
              <w:t>achizi</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iile</w:t>
            </w:r>
            <w:r w:rsidRPr="000D1EF3">
              <w:rPr>
                <w:rFonts w:asciiTheme="majorHAnsi" w:hAnsiTheme="majorHAnsi" w:cstheme="majorHAnsi"/>
                <w:i/>
                <w:sz w:val="24"/>
                <w:szCs w:val="24"/>
              </w:rPr>
              <w:t xml:space="preserve">. Această </w:t>
            </w:r>
            <w:r w:rsidR="00AC653C" w:rsidRPr="000D1EF3">
              <w:rPr>
                <w:rFonts w:asciiTheme="majorHAnsi" w:hAnsiTheme="majorHAnsi" w:cstheme="majorHAnsi"/>
                <w:i/>
                <w:sz w:val="24"/>
                <w:szCs w:val="24"/>
              </w:rPr>
              <w:t>cerin</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ă</w:t>
            </w:r>
            <w:r w:rsidRPr="000D1EF3">
              <w:rPr>
                <w:rFonts w:asciiTheme="majorHAnsi" w:hAnsiTheme="majorHAnsi" w:cstheme="majorHAnsi"/>
                <w:i/>
                <w:sz w:val="24"/>
                <w:szCs w:val="24"/>
              </w:rPr>
              <w:t xml:space="preserve"> include:</w:t>
            </w:r>
          </w:p>
          <w:p w14:paraId="00000454" w14:textId="69868C2F" w:rsidR="00C62A9B" w:rsidRPr="000D1EF3" w:rsidRDefault="00D11CD4">
            <w:pPr>
              <w:rPr>
                <w:rFonts w:asciiTheme="majorHAnsi" w:hAnsiTheme="majorHAnsi" w:cstheme="majorHAnsi"/>
                <w:i/>
                <w:sz w:val="24"/>
                <w:szCs w:val="24"/>
              </w:rPr>
            </w:pPr>
            <w:r w:rsidRPr="000D1EF3">
              <w:rPr>
                <w:rFonts w:asciiTheme="majorHAnsi" w:hAnsiTheme="majorHAnsi" w:cstheme="majorHAnsi"/>
                <w:i/>
                <w:sz w:val="24"/>
                <w:szCs w:val="24"/>
              </w:rPr>
              <w:t xml:space="preserve">1.Măsuri care să asigurare culegerea </w:t>
            </w:r>
            <w:r w:rsidR="00AC653C" w:rsidRPr="000D1EF3">
              <w:rPr>
                <w:rFonts w:asciiTheme="majorHAnsi" w:hAnsiTheme="majorHAnsi" w:cstheme="majorHAnsi"/>
                <w:i/>
                <w:sz w:val="24"/>
                <w:szCs w:val="24"/>
              </w:rPr>
              <w:t>și</w:t>
            </w:r>
            <w:r w:rsidRPr="000D1EF3">
              <w:rPr>
                <w:rFonts w:asciiTheme="majorHAnsi" w:hAnsiTheme="majorHAnsi" w:cstheme="majorHAnsi"/>
                <w:i/>
                <w:sz w:val="24"/>
                <w:szCs w:val="24"/>
              </w:rPr>
              <w:t xml:space="preserve"> prelucrarea de date eficiente şi corecte privind procedurile de </w:t>
            </w:r>
            <w:r w:rsidR="00AC653C" w:rsidRPr="000D1EF3">
              <w:rPr>
                <w:rFonts w:asciiTheme="majorHAnsi" w:hAnsiTheme="majorHAnsi" w:cstheme="majorHAnsi"/>
                <w:i/>
                <w:sz w:val="24"/>
                <w:szCs w:val="24"/>
              </w:rPr>
              <w:t>achizi</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ii</w:t>
            </w:r>
            <w:r w:rsidRPr="000D1EF3">
              <w:rPr>
                <w:rFonts w:asciiTheme="majorHAnsi" w:hAnsiTheme="majorHAnsi" w:cstheme="majorHAnsi"/>
                <w:i/>
                <w:sz w:val="24"/>
                <w:szCs w:val="24"/>
              </w:rPr>
              <w:t xml:space="preserve"> peste pragurile UE în acord cu </w:t>
            </w:r>
            <w:r w:rsidR="00AC653C" w:rsidRPr="000D1EF3">
              <w:rPr>
                <w:rFonts w:asciiTheme="majorHAnsi" w:hAnsiTheme="majorHAnsi" w:cstheme="majorHAnsi"/>
                <w:i/>
                <w:sz w:val="24"/>
                <w:szCs w:val="24"/>
              </w:rPr>
              <w:t>obliga</w:t>
            </w:r>
            <w:r w:rsidR="00812FFF" w:rsidRPr="000D1EF3">
              <w:rPr>
                <w:rFonts w:asciiTheme="majorHAnsi" w:hAnsiTheme="majorHAnsi" w:cstheme="majorHAnsi"/>
                <w:i/>
                <w:sz w:val="24"/>
                <w:szCs w:val="24"/>
              </w:rPr>
              <w:t>ț</w:t>
            </w:r>
            <w:r w:rsidR="00AC653C" w:rsidRPr="000D1EF3">
              <w:rPr>
                <w:rFonts w:asciiTheme="majorHAnsi" w:hAnsiTheme="majorHAnsi" w:cstheme="majorHAnsi"/>
                <w:i/>
                <w:sz w:val="24"/>
                <w:szCs w:val="24"/>
              </w:rPr>
              <w:t>iile</w:t>
            </w:r>
            <w:r w:rsidRPr="000D1EF3">
              <w:rPr>
                <w:rFonts w:asciiTheme="majorHAnsi" w:hAnsiTheme="majorHAnsi" w:cstheme="majorHAnsi"/>
                <w:i/>
                <w:sz w:val="24"/>
                <w:szCs w:val="24"/>
              </w:rPr>
              <w:t xml:space="preserve"> de raportare prevăzute la Art.83 </w:t>
            </w:r>
            <w:r w:rsidR="00AC653C" w:rsidRPr="000D1EF3">
              <w:rPr>
                <w:rFonts w:asciiTheme="majorHAnsi" w:hAnsiTheme="majorHAnsi" w:cstheme="majorHAnsi"/>
                <w:i/>
                <w:sz w:val="24"/>
                <w:szCs w:val="24"/>
              </w:rPr>
              <w:t>și</w:t>
            </w:r>
            <w:r w:rsidRPr="000D1EF3">
              <w:rPr>
                <w:rFonts w:asciiTheme="majorHAnsi" w:hAnsiTheme="majorHAnsi" w:cstheme="majorHAnsi"/>
                <w:i/>
                <w:sz w:val="24"/>
                <w:szCs w:val="24"/>
              </w:rPr>
              <w:t xml:space="preserve"> 84 din Directiva 2014/24/EU </w:t>
            </w:r>
            <w:r w:rsidR="00AC653C" w:rsidRPr="000D1EF3">
              <w:rPr>
                <w:rFonts w:asciiTheme="majorHAnsi" w:hAnsiTheme="majorHAnsi" w:cstheme="majorHAnsi"/>
                <w:i/>
                <w:sz w:val="24"/>
                <w:szCs w:val="24"/>
              </w:rPr>
              <w:t>și</w:t>
            </w:r>
            <w:r w:rsidRPr="000D1EF3">
              <w:rPr>
                <w:rFonts w:asciiTheme="majorHAnsi" w:hAnsiTheme="majorHAnsi" w:cstheme="majorHAnsi"/>
                <w:i/>
                <w:sz w:val="24"/>
                <w:szCs w:val="24"/>
              </w:rPr>
              <w:t xml:space="preserve"> Art.99 </w:t>
            </w:r>
            <w:r w:rsidR="00AC653C" w:rsidRPr="000D1EF3">
              <w:rPr>
                <w:rFonts w:asciiTheme="majorHAnsi" w:hAnsiTheme="majorHAnsi" w:cstheme="majorHAnsi"/>
                <w:i/>
                <w:sz w:val="24"/>
                <w:szCs w:val="24"/>
              </w:rPr>
              <w:t>și</w:t>
            </w:r>
            <w:r w:rsidRPr="000D1EF3">
              <w:rPr>
                <w:rFonts w:asciiTheme="majorHAnsi" w:hAnsiTheme="majorHAnsi" w:cstheme="majorHAnsi"/>
                <w:i/>
                <w:sz w:val="24"/>
                <w:szCs w:val="24"/>
              </w:rPr>
              <w:t xml:space="preserve"> 100 din Directiva 2014/25/EU.  </w:t>
            </w:r>
          </w:p>
        </w:tc>
        <w:tc>
          <w:tcPr>
            <w:tcW w:w="900" w:type="dxa"/>
          </w:tcPr>
          <w:p w14:paraId="00000455"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56" w14:textId="77777777" w:rsidR="00C62A9B" w:rsidRPr="000D1EF3" w:rsidRDefault="00C62A9B">
            <w:pPr>
              <w:rPr>
                <w:rFonts w:asciiTheme="majorHAnsi" w:hAnsiTheme="majorHAnsi" w:cstheme="majorHAnsi"/>
                <w:sz w:val="24"/>
                <w:szCs w:val="24"/>
                <w:highlight w:val="cyan"/>
              </w:rPr>
            </w:pPr>
          </w:p>
          <w:p w14:paraId="00000457" w14:textId="77777777" w:rsidR="00C62A9B" w:rsidRPr="000D1EF3" w:rsidRDefault="00C62A9B">
            <w:pPr>
              <w:rPr>
                <w:rFonts w:asciiTheme="majorHAnsi" w:hAnsiTheme="majorHAnsi" w:cstheme="majorHAnsi"/>
                <w:sz w:val="24"/>
                <w:szCs w:val="24"/>
                <w:highlight w:val="cyan"/>
              </w:rPr>
            </w:pPr>
          </w:p>
          <w:p w14:paraId="00000458" w14:textId="77777777" w:rsidR="00C62A9B" w:rsidRPr="000D1EF3" w:rsidRDefault="00C62A9B">
            <w:pPr>
              <w:rPr>
                <w:rFonts w:asciiTheme="majorHAnsi" w:hAnsiTheme="majorHAnsi" w:cstheme="majorHAnsi"/>
                <w:sz w:val="24"/>
                <w:szCs w:val="24"/>
                <w:highlight w:val="cyan"/>
              </w:rPr>
            </w:pPr>
          </w:p>
          <w:p w14:paraId="00000459" w14:textId="77777777" w:rsidR="00C62A9B" w:rsidRPr="000D1EF3" w:rsidRDefault="00C62A9B">
            <w:pPr>
              <w:rPr>
                <w:rFonts w:asciiTheme="majorHAnsi" w:hAnsiTheme="majorHAnsi" w:cstheme="majorHAnsi"/>
                <w:sz w:val="24"/>
                <w:szCs w:val="24"/>
                <w:highlight w:val="cyan"/>
              </w:rPr>
            </w:pPr>
          </w:p>
          <w:p w14:paraId="0000045A" w14:textId="77777777" w:rsidR="00C62A9B" w:rsidRPr="000D1EF3" w:rsidRDefault="00C62A9B">
            <w:pPr>
              <w:rPr>
                <w:rFonts w:asciiTheme="majorHAnsi" w:hAnsiTheme="majorHAnsi" w:cstheme="majorHAnsi"/>
                <w:sz w:val="24"/>
                <w:szCs w:val="24"/>
                <w:highlight w:val="cyan"/>
              </w:rPr>
            </w:pPr>
          </w:p>
          <w:p w14:paraId="0000045B" w14:textId="77777777" w:rsidR="00C62A9B" w:rsidRPr="000D1EF3" w:rsidRDefault="00C62A9B">
            <w:pPr>
              <w:rPr>
                <w:rFonts w:asciiTheme="majorHAnsi" w:hAnsiTheme="majorHAnsi" w:cstheme="majorHAnsi"/>
                <w:sz w:val="24"/>
                <w:szCs w:val="24"/>
                <w:highlight w:val="cyan"/>
              </w:rPr>
            </w:pPr>
          </w:p>
          <w:p w14:paraId="0000045C" w14:textId="77777777" w:rsidR="00C62A9B" w:rsidRPr="000D1EF3" w:rsidRDefault="00C62A9B">
            <w:pPr>
              <w:rPr>
                <w:rFonts w:asciiTheme="majorHAnsi" w:hAnsiTheme="majorHAnsi" w:cstheme="majorHAnsi"/>
                <w:sz w:val="24"/>
                <w:szCs w:val="24"/>
                <w:highlight w:val="cyan"/>
              </w:rPr>
            </w:pPr>
          </w:p>
          <w:p w14:paraId="0000045E"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HG 901/2015</w:t>
            </w:r>
          </w:p>
          <w:p w14:paraId="0000045F"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OUG nr. 13/2015</w:t>
            </w:r>
          </w:p>
          <w:p w14:paraId="00000460"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OUG nr. 68/2019</w:t>
            </w:r>
          </w:p>
          <w:p w14:paraId="00000461" w14:textId="77777777" w:rsidR="00C62A9B" w:rsidRPr="000D1EF3" w:rsidRDefault="00C62A9B">
            <w:pPr>
              <w:rPr>
                <w:rFonts w:asciiTheme="majorHAnsi" w:hAnsiTheme="majorHAnsi" w:cstheme="majorHAnsi"/>
                <w:sz w:val="24"/>
                <w:szCs w:val="24"/>
                <w:highlight w:val="cyan"/>
              </w:rPr>
            </w:pPr>
          </w:p>
        </w:tc>
        <w:tc>
          <w:tcPr>
            <w:tcW w:w="6060" w:type="dxa"/>
          </w:tcPr>
          <w:p w14:paraId="00000462" w14:textId="7EBD5DCF"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pentru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 (ANAP) exercită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monitorizare a sistemului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de </w:t>
            </w:r>
            <w:r w:rsidR="00AC653C" w:rsidRPr="000D1EF3">
              <w:rPr>
                <w:rFonts w:asciiTheme="majorHAnsi" w:hAnsiTheme="majorHAnsi" w:cstheme="majorHAnsi"/>
                <w:sz w:val="24"/>
                <w:szCs w:val="24"/>
              </w:rPr>
              <w:t>achizi</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publice, prin: </w:t>
            </w:r>
          </w:p>
          <w:p w14:paraId="00000463" w14:textId="198A22F9"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 xml:space="preserve">-prelucrarea periodică a datelor și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iilor</w:t>
            </w:r>
            <w:r w:rsidRPr="000D1EF3">
              <w:rPr>
                <w:rFonts w:asciiTheme="majorHAnsi" w:hAnsiTheme="majorHAnsi" w:cstheme="majorHAnsi"/>
                <w:sz w:val="24"/>
                <w:szCs w:val="24"/>
              </w:rPr>
              <w:t xml:space="preserve"> privind toate procedurile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în Sistemul Electronic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 (SEAP) de către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ile/entită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contractante, conform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legale</w:t>
            </w:r>
          </w:p>
          <w:p w14:paraId="00000464" w14:textId="14BEDBA3"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-prelucrarea datelor privind decizii ale Consiliului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pentru Solu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ionarea Contesta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(CNSC) și ale Cur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apel</w:t>
            </w:r>
          </w:p>
          <w:p w14:paraId="00000465" w14:textId="178CFF97"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-calcularea de indicatori de performan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ă </w:t>
            </w:r>
            <w:r w:rsidR="00AC653C" w:rsidRPr="000D1EF3">
              <w:rPr>
                <w:rFonts w:asciiTheme="majorHAnsi" w:hAnsiTheme="majorHAnsi" w:cstheme="majorHAnsi"/>
                <w:sz w:val="24"/>
                <w:szCs w:val="24"/>
              </w:rPr>
              <w:t>relevan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măsurabili</w:t>
            </w:r>
          </w:p>
          <w:p w14:paraId="00000466" w14:textId="01F9E75A"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-elaborarea de rapoarte și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conform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de raportare prevăzute în directive și legisla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w:t>
            </w:r>
          </w:p>
          <w:p w14:paraId="00000467" w14:textId="6F4870D8"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Datele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monitorizate sunt publicate periodic, pentru transparen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și informare publică, pe site-ul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w:t>
            </w:r>
            <w:hyperlink r:id="rId19">
              <w:r w:rsidRPr="000D1EF3">
                <w:rPr>
                  <w:rFonts w:asciiTheme="majorHAnsi" w:hAnsiTheme="majorHAnsi" w:cstheme="majorHAnsi"/>
                  <w:color w:val="0563C1"/>
                  <w:sz w:val="24"/>
                  <w:szCs w:val="24"/>
                  <w:u w:val="single"/>
                </w:rPr>
                <w:t>http://anap.gov.ro/web/analize-si-rapoarte-statistice/?future=false</w:t>
              </w:r>
            </w:hyperlink>
            <w:r w:rsidRPr="000D1EF3">
              <w:rPr>
                <w:rFonts w:asciiTheme="majorHAnsi" w:hAnsiTheme="majorHAnsi" w:cstheme="majorHAnsi"/>
                <w:sz w:val="24"/>
                <w:szCs w:val="24"/>
              </w:rPr>
              <w:t xml:space="preserve"> și au în vedere: mărimea și caracteristicile pie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intensitatea concuren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ei, activitatea </w:t>
            </w:r>
            <w:r w:rsidRPr="000D1EF3">
              <w:rPr>
                <w:rFonts w:asciiTheme="majorHAnsi" w:hAnsiTheme="majorHAnsi" w:cstheme="majorHAnsi"/>
                <w:sz w:val="24"/>
                <w:szCs w:val="24"/>
              </w:rPr>
              <w:lastRenderedPageBreak/>
              <w:t>economică, eficien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publice, eventuale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comportament necorespunzător/nereguli.</w:t>
            </w:r>
          </w:p>
        </w:tc>
      </w:tr>
      <w:tr w:rsidR="00C62A9B" w:rsidRPr="000D1EF3" w14:paraId="0646E02C" w14:textId="77777777" w:rsidTr="00A83083">
        <w:tc>
          <w:tcPr>
            <w:tcW w:w="2122" w:type="dxa"/>
            <w:vMerge/>
          </w:tcPr>
          <w:p w14:paraId="00000468" w14:textId="77777777" w:rsidR="00C62A9B" w:rsidRPr="000D1EF3" w:rsidRDefault="00C62A9B">
            <w:pPr>
              <w:spacing w:after="120"/>
              <w:rPr>
                <w:rFonts w:asciiTheme="majorHAnsi" w:hAnsiTheme="majorHAnsi" w:cstheme="majorHAnsi"/>
                <w:i/>
                <w:sz w:val="24"/>
                <w:szCs w:val="24"/>
              </w:rPr>
            </w:pPr>
          </w:p>
        </w:tc>
        <w:tc>
          <w:tcPr>
            <w:tcW w:w="850" w:type="dxa"/>
            <w:vMerge/>
          </w:tcPr>
          <w:p w14:paraId="00000469" w14:textId="77777777" w:rsidR="00C62A9B" w:rsidRPr="000D1EF3" w:rsidRDefault="00C62A9B">
            <w:pPr>
              <w:spacing w:after="120"/>
              <w:rPr>
                <w:rFonts w:asciiTheme="majorHAnsi" w:hAnsiTheme="majorHAnsi" w:cstheme="majorHAnsi"/>
                <w:i/>
                <w:sz w:val="24"/>
                <w:szCs w:val="24"/>
              </w:rPr>
            </w:pPr>
          </w:p>
        </w:tc>
        <w:tc>
          <w:tcPr>
            <w:tcW w:w="3343" w:type="dxa"/>
          </w:tcPr>
          <w:p w14:paraId="0000046A" w14:textId="20E67114"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 xml:space="preserve">2.Măsuri care să asigure că datele acoperă cel </w:t>
            </w:r>
            <w:r w:rsidR="00AC653C" w:rsidRPr="000D1EF3">
              <w:rPr>
                <w:rFonts w:asciiTheme="majorHAnsi" w:hAnsiTheme="majorHAnsi" w:cstheme="majorHAnsi"/>
                <w:sz w:val="24"/>
                <w:szCs w:val="24"/>
              </w:rPr>
              <w:t>pu</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in</w:t>
            </w:r>
            <w:r w:rsidRPr="000D1EF3">
              <w:rPr>
                <w:rFonts w:asciiTheme="majorHAnsi" w:hAnsiTheme="majorHAnsi" w:cstheme="majorHAnsi"/>
                <w:sz w:val="24"/>
                <w:szCs w:val="24"/>
              </w:rPr>
              <w:t xml:space="preserve"> următoarele elemente:</w:t>
            </w:r>
          </w:p>
          <w:p w14:paraId="0000046B" w14:textId="2C5EF200"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a.</w:t>
            </w:r>
            <w:r w:rsidR="00AC653C" w:rsidRPr="000D1EF3">
              <w:rPr>
                <w:rFonts w:asciiTheme="majorHAnsi" w:hAnsiTheme="majorHAnsi" w:cstheme="majorHAnsi"/>
                <w:sz w:val="24"/>
                <w:szCs w:val="24"/>
              </w:rPr>
              <w:t xml:space="preserve"> </w:t>
            </w:r>
            <w:r w:rsidRPr="000D1EF3">
              <w:rPr>
                <w:rFonts w:asciiTheme="majorHAnsi" w:hAnsiTheme="majorHAnsi" w:cstheme="majorHAnsi"/>
                <w:sz w:val="24"/>
                <w:szCs w:val="24"/>
              </w:rPr>
              <w:t xml:space="preserve">Calitatea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intensitatea </w:t>
            </w:r>
            <w:r w:rsidR="00AC653C" w:rsidRPr="000D1EF3">
              <w:rPr>
                <w:rFonts w:asciiTheme="majorHAnsi" w:hAnsiTheme="majorHAnsi" w:cstheme="majorHAnsi"/>
                <w:sz w:val="24"/>
                <w:szCs w:val="24"/>
              </w:rPr>
              <w:t>concuren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ei</w:t>
            </w:r>
            <w:r w:rsidRPr="000D1EF3">
              <w:rPr>
                <w:rFonts w:asciiTheme="majorHAnsi" w:hAnsiTheme="majorHAnsi" w:cstheme="majorHAnsi"/>
                <w:sz w:val="24"/>
                <w:szCs w:val="24"/>
              </w:rPr>
              <w:t xml:space="preserve">: numele </w:t>
            </w:r>
            <w:r w:rsidR="00AC653C" w:rsidRPr="000D1EF3">
              <w:rPr>
                <w:rFonts w:asciiTheme="majorHAnsi" w:hAnsiTheme="majorHAnsi" w:cstheme="majorHAnsi"/>
                <w:sz w:val="24"/>
                <w:szCs w:val="24"/>
              </w:rPr>
              <w:t>ofertan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ilor</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câștigători</w:t>
            </w:r>
            <w:r w:rsidRPr="000D1EF3">
              <w:rPr>
                <w:rFonts w:asciiTheme="majorHAnsi" w:hAnsiTheme="majorHAnsi" w:cstheme="majorHAnsi"/>
                <w:sz w:val="24"/>
                <w:szCs w:val="24"/>
              </w:rPr>
              <w:t xml:space="preserve">, numărul </w:t>
            </w:r>
            <w:r w:rsidR="00AC653C" w:rsidRPr="000D1EF3">
              <w:rPr>
                <w:rFonts w:asciiTheme="majorHAnsi" w:hAnsiTheme="majorHAnsi" w:cstheme="majorHAnsi"/>
                <w:sz w:val="24"/>
                <w:szCs w:val="24"/>
              </w:rPr>
              <w:t>ofertan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ilor</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ini</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iali</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valoarea contractuală</w:t>
            </w:r>
          </w:p>
          <w:p w14:paraId="0000046C" w14:textId="3D43B164"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b.</w:t>
            </w:r>
            <w:r w:rsidR="00AC653C" w:rsidRPr="000D1EF3">
              <w:rPr>
                <w:rFonts w:asciiTheme="majorHAnsi" w:hAnsiTheme="majorHAnsi" w:cstheme="majorHAnsi"/>
                <w:sz w:val="24"/>
                <w:szCs w:val="24"/>
              </w:rPr>
              <w:t xml:space="preserve"> 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privind </w:t>
            </w:r>
            <w:r w:rsidR="00AC653C" w:rsidRPr="000D1EF3">
              <w:rPr>
                <w:rFonts w:asciiTheme="majorHAnsi" w:hAnsiTheme="majorHAnsi" w:cstheme="majorHAnsi"/>
                <w:sz w:val="24"/>
                <w:szCs w:val="24"/>
              </w:rPr>
              <w:t>pre</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ul</w:t>
            </w:r>
            <w:r w:rsidRPr="000D1EF3">
              <w:rPr>
                <w:rFonts w:asciiTheme="majorHAnsi" w:hAnsiTheme="majorHAnsi" w:cstheme="majorHAnsi"/>
                <w:sz w:val="24"/>
                <w:szCs w:val="24"/>
              </w:rPr>
              <w:t xml:space="preserve"> final după finalizarea contractului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privind participarea IMM-urilor în calitate de </w:t>
            </w:r>
            <w:r w:rsidR="00AC653C" w:rsidRPr="000D1EF3">
              <w:rPr>
                <w:rFonts w:asciiTheme="majorHAnsi" w:hAnsiTheme="majorHAnsi" w:cstheme="majorHAnsi"/>
                <w:sz w:val="24"/>
                <w:szCs w:val="24"/>
              </w:rPr>
              <w:t>ofertan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direc</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în cazul în care sistemele </w:t>
            </w:r>
            <w:r w:rsidR="00AC653C"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ionale</w:t>
            </w:r>
            <w:r w:rsidRPr="000D1EF3">
              <w:rPr>
                <w:rFonts w:asciiTheme="majorHAnsi" w:hAnsiTheme="majorHAnsi" w:cstheme="majorHAnsi"/>
                <w:sz w:val="24"/>
                <w:szCs w:val="24"/>
              </w:rPr>
              <w:t xml:space="preserve"> furnizează astfel de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p>
        </w:tc>
        <w:tc>
          <w:tcPr>
            <w:tcW w:w="900" w:type="dxa"/>
          </w:tcPr>
          <w:p w14:paraId="0000046D"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72"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98/2016, art. 232 (1)</w:t>
            </w:r>
          </w:p>
          <w:p w14:paraId="00000473"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99/2016, art. 252 (1)</w:t>
            </w:r>
          </w:p>
          <w:p w14:paraId="00000474"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H.G. nr. 394/2016 art. 170, 171, 172 </w:t>
            </w:r>
          </w:p>
          <w:p w14:paraId="00000475"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H.G. nr. 395/2016 art. 167, 168, 169</w:t>
            </w:r>
          </w:p>
          <w:p w14:paraId="00000476" w14:textId="77777777" w:rsidR="00C62A9B" w:rsidRPr="000D1EF3" w:rsidRDefault="00C62A9B">
            <w:pPr>
              <w:rPr>
                <w:rFonts w:asciiTheme="majorHAnsi" w:hAnsiTheme="majorHAnsi" w:cstheme="majorHAnsi"/>
                <w:sz w:val="24"/>
                <w:szCs w:val="24"/>
              </w:rPr>
            </w:pPr>
          </w:p>
          <w:p w14:paraId="00000477" w14:textId="77777777" w:rsidR="00C62A9B" w:rsidRPr="000D1EF3" w:rsidRDefault="00C62A9B">
            <w:pPr>
              <w:rPr>
                <w:rFonts w:asciiTheme="majorHAnsi" w:hAnsiTheme="majorHAnsi" w:cstheme="majorHAnsi"/>
                <w:sz w:val="24"/>
                <w:szCs w:val="24"/>
              </w:rPr>
            </w:pPr>
          </w:p>
          <w:p w14:paraId="00000478" w14:textId="77777777" w:rsidR="00C62A9B" w:rsidRPr="000D1EF3" w:rsidRDefault="00C62A9B">
            <w:pPr>
              <w:rPr>
                <w:rFonts w:asciiTheme="majorHAnsi" w:hAnsiTheme="majorHAnsi" w:cstheme="majorHAnsi"/>
                <w:sz w:val="24"/>
                <w:szCs w:val="24"/>
              </w:rPr>
            </w:pPr>
          </w:p>
          <w:p w14:paraId="00000479" w14:textId="77777777" w:rsidR="00C62A9B" w:rsidRPr="000D1EF3" w:rsidRDefault="00C62A9B">
            <w:pPr>
              <w:rPr>
                <w:rFonts w:asciiTheme="majorHAnsi" w:hAnsiTheme="majorHAnsi" w:cstheme="majorHAnsi"/>
                <w:sz w:val="24"/>
                <w:szCs w:val="24"/>
              </w:rPr>
            </w:pPr>
          </w:p>
          <w:p w14:paraId="0000047A"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98/2016, art. 221 (6)</w:t>
            </w:r>
          </w:p>
          <w:p w14:paraId="0000047B"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Legea nr. 99/2016, art. 239 </w:t>
            </w:r>
          </w:p>
          <w:p w14:paraId="0000047C" w14:textId="77777777" w:rsidR="00C62A9B" w:rsidRPr="000D1EF3" w:rsidRDefault="00C62A9B">
            <w:pPr>
              <w:rPr>
                <w:rFonts w:asciiTheme="majorHAnsi" w:hAnsiTheme="majorHAnsi" w:cstheme="majorHAnsi"/>
                <w:sz w:val="24"/>
                <w:szCs w:val="24"/>
              </w:rPr>
            </w:pPr>
          </w:p>
          <w:p w14:paraId="0000047D" w14:textId="77777777" w:rsidR="00C62A9B" w:rsidRPr="000D1EF3" w:rsidRDefault="00C62A9B">
            <w:pPr>
              <w:rPr>
                <w:rFonts w:asciiTheme="majorHAnsi" w:hAnsiTheme="majorHAnsi" w:cstheme="majorHAnsi"/>
                <w:sz w:val="24"/>
                <w:szCs w:val="24"/>
              </w:rPr>
            </w:pPr>
          </w:p>
        </w:tc>
        <w:tc>
          <w:tcPr>
            <w:tcW w:w="6060" w:type="dxa"/>
          </w:tcPr>
          <w:p w14:paraId="0000047E" w14:textId="77777777" w:rsidR="00C62A9B" w:rsidRPr="000D1EF3" w:rsidRDefault="00C62A9B">
            <w:pPr>
              <w:jc w:val="both"/>
              <w:rPr>
                <w:rFonts w:asciiTheme="majorHAnsi" w:hAnsiTheme="majorHAnsi" w:cstheme="majorHAnsi"/>
                <w:sz w:val="24"/>
                <w:szCs w:val="24"/>
              </w:rPr>
            </w:pPr>
          </w:p>
          <w:p w14:paraId="0000047F" w14:textId="77777777" w:rsidR="00C62A9B" w:rsidRPr="000D1EF3" w:rsidRDefault="00C62A9B">
            <w:pPr>
              <w:jc w:val="both"/>
              <w:rPr>
                <w:rFonts w:asciiTheme="majorHAnsi" w:hAnsiTheme="majorHAnsi" w:cstheme="majorHAnsi"/>
                <w:sz w:val="24"/>
                <w:szCs w:val="24"/>
              </w:rPr>
            </w:pPr>
          </w:p>
          <w:p w14:paraId="00000480" w14:textId="77777777" w:rsidR="00C62A9B" w:rsidRPr="000D1EF3" w:rsidRDefault="00C62A9B">
            <w:pPr>
              <w:jc w:val="both"/>
              <w:rPr>
                <w:rFonts w:asciiTheme="majorHAnsi" w:hAnsiTheme="majorHAnsi" w:cstheme="majorHAnsi"/>
                <w:sz w:val="24"/>
                <w:szCs w:val="24"/>
              </w:rPr>
            </w:pPr>
          </w:p>
          <w:p w14:paraId="00000481" w14:textId="77777777" w:rsidR="00C62A9B" w:rsidRPr="000D1EF3" w:rsidRDefault="00C62A9B">
            <w:pPr>
              <w:jc w:val="both"/>
              <w:rPr>
                <w:rFonts w:asciiTheme="majorHAnsi" w:hAnsiTheme="majorHAnsi" w:cstheme="majorHAnsi"/>
                <w:sz w:val="24"/>
                <w:szCs w:val="24"/>
              </w:rPr>
            </w:pPr>
          </w:p>
          <w:p w14:paraId="00000482" w14:textId="459F774B" w:rsidR="00C62A9B" w:rsidRPr="000D1EF3" w:rsidRDefault="00D11CD4" w:rsidP="00AC653C">
            <w:pPr>
              <w:pStyle w:val="ListParagraph"/>
              <w:numPr>
                <w:ilvl w:val="0"/>
                <w:numId w:val="2"/>
              </w:numPr>
              <w:jc w:val="both"/>
              <w:rPr>
                <w:rFonts w:asciiTheme="majorHAnsi" w:hAnsiTheme="majorHAnsi" w:cstheme="majorHAnsi"/>
                <w:sz w:val="24"/>
                <w:szCs w:val="24"/>
              </w:rPr>
            </w:pPr>
            <w:r w:rsidRPr="000D1EF3">
              <w:rPr>
                <w:rFonts w:asciiTheme="majorHAnsi" w:hAnsiTheme="majorHAnsi" w:cstheme="majorHAnsi"/>
                <w:sz w:val="24"/>
                <w:szCs w:val="24"/>
              </w:rPr>
              <w:t>Indicatorii se regăsesc în anun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urile de atribuire publicate în SEAP (</w:t>
            </w:r>
            <w:hyperlink r:id="rId20">
              <w:r w:rsidRPr="000D1EF3">
                <w:rPr>
                  <w:rFonts w:asciiTheme="majorHAnsi" w:hAnsiTheme="majorHAnsi" w:cstheme="majorHAnsi"/>
                  <w:color w:val="0563C1"/>
                  <w:sz w:val="24"/>
                  <w:szCs w:val="24"/>
                  <w:u w:val="single"/>
                </w:rPr>
                <w:t>http://sicap-prod.e-licitatie.ro</w:t>
              </w:r>
            </w:hyperlink>
            <w:r w:rsidRPr="000D1EF3">
              <w:rPr>
                <w:rFonts w:asciiTheme="majorHAnsi" w:hAnsiTheme="majorHAnsi" w:cstheme="majorHAnsi"/>
                <w:sz w:val="24"/>
                <w:szCs w:val="24"/>
              </w:rPr>
              <w:t xml:space="preserve">), conform </w:t>
            </w:r>
            <w:r w:rsidR="00AC653C" w:rsidRPr="000D1EF3">
              <w:rPr>
                <w:rFonts w:asciiTheme="majorHAnsi" w:hAnsiTheme="majorHAnsi" w:cstheme="majorHAnsi"/>
                <w:sz w:val="24"/>
                <w:szCs w:val="24"/>
              </w:rPr>
              <w:t>obliga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iilor</w:t>
            </w:r>
            <w:r w:rsidRPr="000D1EF3">
              <w:rPr>
                <w:rFonts w:asciiTheme="majorHAnsi" w:hAnsiTheme="majorHAnsi" w:cstheme="majorHAnsi"/>
                <w:sz w:val="24"/>
                <w:szCs w:val="24"/>
              </w:rPr>
              <w:t xml:space="preserve"> legale de publicare.</w:t>
            </w:r>
          </w:p>
          <w:p w14:paraId="00000483" w14:textId="77777777" w:rsidR="00C62A9B" w:rsidRPr="000D1EF3" w:rsidRDefault="00C62A9B">
            <w:pPr>
              <w:jc w:val="both"/>
              <w:rPr>
                <w:rFonts w:asciiTheme="majorHAnsi" w:hAnsiTheme="majorHAnsi" w:cstheme="majorHAnsi"/>
                <w:sz w:val="24"/>
                <w:szCs w:val="24"/>
              </w:rPr>
            </w:pPr>
          </w:p>
          <w:p w14:paraId="00000484" w14:textId="77777777" w:rsidR="00C62A9B" w:rsidRPr="000D1EF3" w:rsidRDefault="00C62A9B">
            <w:pPr>
              <w:jc w:val="both"/>
              <w:rPr>
                <w:rFonts w:asciiTheme="majorHAnsi" w:hAnsiTheme="majorHAnsi" w:cstheme="majorHAnsi"/>
                <w:sz w:val="24"/>
                <w:szCs w:val="24"/>
              </w:rPr>
            </w:pPr>
          </w:p>
          <w:p w14:paraId="00000485" w14:textId="77777777" w:rsidR="00C62A9B" w:rsidRPr="000D1EF3" w:rsidRDefault="00C62A9B">
            <w:pPr>
              <w:jc w:val="both"/>
              <w:rPr>
                <w:rFonts w:asciiTheme="majorHAnsi" w:hAnsiTheme="majorHAnsi" w:cstheme="majorHAnsi"/>
                <w:sz w:val="24"/>
                <w:szCs w:val="24"/>
              </w:rPr>
            </w:pPr>
          </w:p>
          <w:p w14:paraId="00000486" w14:textId="77777777" w:rsidR="00C62A9B" w:rsidRPr="000D1EF3" w:rsidRDefault="00C62A9B">
            <w:pPr>
              <w:jc w:val="both"/>
              <w:rPr>
                <w:rFonts w:asciiTheme="majorHAnsi" w:hAnsiTheme="majorHAnsi" w:cstheme="majorHAnsi"/>
                <w:sz w:val="24"/>
                <w:szCs w:val="24"/>
              </w:rPr>
            </w:pPr>
          </w:p>
          <w:p w14:paraId="00000487" w14:textId="77777777" w:rsidR="00C62A9B" w:rsidRPr="000D1EF3" w:rsidRDefault="00C62A9B">
            <w:pPr>
              <w:jc w:val="both"/>
              <w:rPr>
                <w:rFonts w:asciiTheme="majorHAnsi" w:hAnsiTheme="majorHAnsi" w:cstheme="majorHAnsi"/>
                <w:sz w:val="24"/>
                <w:szCs w:val="24"/>
              </w:rPr>
            </w:pPr>
          </w:p>
          <w:p w14:paraId="00000488" w14:textId="77777777" w:rsidR="00C62A9B" w:rsidRPr="000D1EF3" w:rsidRDefault="00C62A9B">
            <w:pPr>
              <w:jc w:val="both"/>
              <w:rPr>
                <w:rFonts w:asciiTheme="majorHAnsi" w:hAnsiTheme="majorHAnsi" w:cstheme="majorHAnsi"/>
                <w:sz w:val="24"/>
                <w:szCs w:val="24"/>
              </w:rPr>
            </w:pPr>
          </w:p>
          <w:p w14:paraId="00000489" w14:textId="77777777" w:rsidR="00C62A9B" w:rsidRPr="000D1EF3" w:rsidRDefault="00C62A9B">
            <w:pPr>
              <w:jc w:val="both"/>
              <w:rPr>
                <w:rFonts w:asciiTheme="majorHAnsi" w:hAnsiTheme="majorHAnsi" w:cstheme="majorHAnsi"/>
                <w:sz w:val="24"/>
                <w:szCs w:val="24"/>
              </w:rPr>
            </w:pPr>
          </w:p>
          <w:p w14:paraId="0000048A" w14:textId="77777777" w:rsidR="00C62A9B" w:rsidRPr="000D1EF3" w:rsidRDefault="00C62A9B">
            <w:pPr>
              <w:jc w:val="both"/>
              <w:rPr>
                <w:rFonts w:asciiTheme="majorHAnsi" w:hAnsiTheme="majorHAnsi" w:cstheme="majorHAnsi"/>
                <w:sz w:val="24"/>
                <w:szCs w:val="24"/>
              </w:rPr>
            </w:pPr>
          </w:p>
          <w:p w14:paraId="0000048B" w14:textId="77777777" w:rsidR="00C62A9B" w:rsidRPr="000D1EF3" w:rsidRDefault="00C62A9B">
            <w:pPr>
              <w:jc w:val="both"/>
              <w:rPr>
                <w:rFonts w:asciiTheme="majorHAnsi" w:hAnsiTheme="majorHAnsi" w:cstheme="majorHAnsi"/>
                <w:sz w:val="24"/>
                <w:szCs w:val="24"/>
              </w:rPr>
            </w:pPr>
          </w:p>
          <w:p w14:paraId="0000048D" w14:textId="7777A11B" w:rsidR="00C62A9B" w:rsidRPr="000D1EF3" w:rsidRDefault="00D11CD4" w:rsidP="00AC653C">
            <w:pPr>
              <w:pStyle w:val="ListParagraph"/>
              <w:numPr>
                <w:ilvl w:val="0"/>
                <w:numId w:val="2"/>
              </w:numPr>
              <w:jc w:val="both"/>
              <w:rPr>
                <w:rFonts w:asciiTheme="majorHAnsi" w:hAnsiTheme="majorHAnsi" w:cstheme="majorHAnsi"/>
                <w:sz w:val="24"/>
                <w:szCs w:val="24"/>
              </w:rPr>
            </w:pPr>
            <w:r w:rsidRPr="000D1EF3">
              <w:rPr>
                <w:rFonts w:asciiTheme="majorHAnsi" w:hAnsiTheme="majorHAnsi" w:cstheme="majorHAnsi"/>
                <w:sz w:val="24"/>
                <w:szCs w:val="24"/>
              </w:rPr>
              <w:t>Indicatorul privind pre</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ul final după finalizarea contractului se va regăsi în anun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urile de atribuire publicate în SEAP. Pentru a monitoriza modificările contractuale, în afara celor prevăzute în directive, trebuie modificat formularul standard 20 al JOUE.</w:t>
            </w:r>
            <w:r w:rsidR="00AC653C" w:rsidRPr="000D1EF3">
              <w:rPr>
                <w:rFonts w:asciiTheme="majorHAnsi" w:hAnsiTheme="majorHAnsi" w:cstheme="majorHAnsi"/>
                <w:sz w:val="24"/>
                <w:szCs w:val="24"/>
              </w:rPr>
              <w:t xml:space="preserve"> </w:t>
            </w:r>
            <w:r w:rsidRPr="000D1EF3">
              <w:rPr>
                <w:rFonts w:asciiTheme="majorHAnsi" w:hAnsiTheme="majorHAnsi" w:cstheme="majorHAnsi"/>
                <w:sz w:val="24"/>
                <w:szCs w:val="24"/>
              </w:rPr>
              <w:t>Indicatorul referitor la participarea IMM-urilor ca ofertan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direc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se regăsește în anun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urile de atribuire publicate în SEAP. Ofertan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au posibilitatea de a selecta tipul de entitate: mijlocie, mică, mare,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preluate ulterior în mod automat în DUAE și în declara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cu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la procedură.</w:t>
            </w:r>
          </w:p>
        </w:tc>
      </w:tr>
      <w:tr w:rsidR="00C62A9B" w:rsidRPr="000D1EF3" w14:paraId="6812B486" w14:textId="77777777" w:rsidTr="00A83083">
        <w:tc>
          <w:tcPr>
            <w:tcW w:w="2122" w:type="dxa"/>
            <w:vMerge/>
          </w:tcPr>
          <w:p w14:paraId="0000048E" w14:textId="77777777" w:rsidR="00C62A9B" w:rsidRPr="000D1EF3" w:rsidRDefault="00C62A9B">
            <w:pPr>
              <w:spacing w:after="120"/>
              <w:rPr>
                <w:rFonts w:asciiTheme="majorHAnsi" w:hAnsiTheme="majorHAnsi" w:cstheme="majorHAnsi"/>
                <w:i/>
                <w:sz w:val="24"/>
                <w:szCs w:val="24"/>
              </w:rPr>
            </w:pPr>
          </w:p>
        </w:tc>
        <w:tc>
          <w:tcPr>
            <w:tcW w:w="850" w:type="dxa"/>
            <w:vMerge/>
          </w:tcPr>
          <w:p w14:paraId="0000048F" w14:textId="77777777" w:rsidR="00C62A9B" w:rsidRPr="000D1EF3" w:rsidRDefault="00C62A9B">
            <w:pPr>
              <w:spacing w:after="120"/>
              <w:rPr>
                <w:rFonts w:asciiTheme="majorHAnsi" w:hAnsiTheme="majorHAnsi" w:cstheme="majorHAnsi"/>
                <w:i/>
                <w:sz w:val="24"/>
                <w:szCs w:val="24"/>
              </w:rPr>
            </w:pPr>
          </w:p>
        </w:tc>
        <w:tc>
          <w:tcPr>
            <w:tcW w:w="3343" w:type="dxa"/>
          </w:tcPr>
          <w:p w14:paraId="00000490" w14:textId="39641F32"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3.Măsuri care să asigurare monitorizarea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analiza datelor de către </w:t>
            </w:r>
            <w:r w:rsidR="00AC653C" w:rsidRPr="000D1EF3">
              <w:rPr>
                <w:rFonts w:asciiTheme="majorHAnsi" w:hAnsiTheme="majorHAnsi" w:cstheme="majorHAnsi"/>
                <w:sz w:val="24"/>
                <w:szCs w:val="24"/>
              </w:rPr>
              <w:t>autorită</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ile</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ionale</w:t>
            </w:r>
            <w:r w:rsidRPr="000D1EF3">
              <w:rPr>
                <w:rFonts w:asciiTheme="majorHAnsi" w:hAnsiTheme="majorHAnsi" w:cstheme="majorHAnsi"/>
                <w:sz w:val="24"/>
                <w:szCs w:val="24"/>
              </w:rPr>
              <w:t xml:space="preserve"> competente conform cu art.83(2) din Directiva 2014/24/EU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art.99(2) din Directiva 2014/25/EU</w:t>
            </w:r>
          </w:p>
        </w:tc>
        <w:tc>
          <w:tcPr>
            <w:tcW w:w="900" w:type="dxa"/>
          </w:tcPr>
          <w:p w14:paraId="00000491"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92" w14:textId="77777777" w:rsidR="00C62A9B" w:rsidRPr="000D1EF3" w:rsidRDefault="00C62A9B">
            <w:pPr>
              <w:rPr>
                <w:rFonts w:asciiTheme="majorHAnsi" w:hAnsiTheme="majorHAnsi" w:cstheme="majorHAnsi"/>
                <w:sz w:val="24"/>
                <w:szCs w:val="24"/>
              </w:rPr>
            </w:pPr>
          </w:p>
        </w:tc>
        <w:tc>
          <w:tcPr>
            <w:tcW w:w="6060" w:type="dxa"/>
          </w:tcPr>
          <w:p w14:paraId="00000493" w14:textId="37DC25F7"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Prin HG nr. 901/2015, s-au introdus noi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pentru calcularea unor indicatori ai sistemului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 S-a urmărit asigurarea colectării de date puse la dispozi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 de către AADR, în prezent ADR, care este operatorul  SEAP. S-a avut în vedere prelucrarea periodică a datelor și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iilor</w:t>
            </w:r>
            <w:r w:rsidRPr="000D1EF3">
              <w:rPr>
                <w:rFonts w:asciiTheme="majorHAnsi" w:hAnsiTheme="majorHAnsi" w:cstheme="majorHAnsi"/>
                <w:sz w:val="24"/>
                <w:szCs w:val="24"/>
              </w:rPr>
              <w:t xml:space="preserve">, crearea de instrumente necesare culegerii acestora, analiza datelor statistice în vederea calculării de indicatori </w:t>
            </w:r>
            <w:r w:rsidR="00AC653C" w:rsidRPr="000D1EF3">
              <w:rPr>
                <w:rFonts w:asciiTheme="majorHAnsi" w:hAnsiTheme="majorHAnsi" w:cstheme="majorHAnsi"/>
                <w:sz w:val="24"/>
                <w:szCs w:val="24"/>
              </w:rPr>
              <w:t>relevan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măsurabili, elaborarea de rapoarte și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prin intermediul cărora să poată fi urmărit modul de 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ionare a sistemului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w:t>
            </w:r>
          </w:p>
        </w:tc>
      </w:tr>
      <w:tr w:rsidR="00C62A9B" w:rsidRPr="000D1EF3" w14:paraId="30A46FE4" w14:textId="77777777" w:rsidTr="00A83083">
        <w:tc>
          <w:tcPr>
            <w:tcW w:w="2122" w:type="dxa"/>
            <w:vMerge/>
          </w:tcPr>
          <w:p w14:paraId="00000494" w14:textId="77777777" w:rsidR="00C62A9B" w:rsidRPr="000D1EF3" w:rsidRDefault="00C62A9B">
            <w:pPr>
              <w:spacing w:after="120"/>
              <w:rPr>
                <w:rFonts w:asciiTheme="majorHAnsi" w:hAnsiTheme="majorHAnsi" w:cstheme="majorHAnsi"/>
                <w:i/>
                <w:sz w:val="24"/>
                <w:szCs w:val="24"/>
              </w:rPr>
            </w:pPr>
          </w:p>
        </w:tc>
        <w:tc>
          <w:tcPr>
            <w:tcW w:w="850" w:type="dxa"/>
            <w:vMerge/>
          </w:tcPr>
          <w:p w14:paraId="00000495" w14:textId="77777777" w:rsidR="00C62A9B" w:rsidRPr="000D1EF3" w:rsidRDefault="00C62A9B">
            <w:pPr>
              <w:spacing w:after="120"/>
              <w:rPr>
                <w:rFonts w:asciiTheme="majorHAnsi" w:hAnsiTheme="majorHAnsi" w:cstheme="majorHAnsi"/>
                <w:i/>
                <w:sz w:val="24"/>
                <w:szCs w:val="24"/>
              </w:rPr>
            </w:pPr>
          </w:p>
        </w:tc>
        <w:tc>
          <w:tcPr>
            <w:tcW w:w="3343" w:type="dxa"/>
          </w:tcPr>
          <w:p w14:paraId="00000496"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4.Măsuri care să asigure că rezultatele analizelor sunt publicate în conformitate cu prevederile art.83(3) din Directiva 2014/24/EU şi art.99(3) din Directiva 2014/25/EU</w:t>
            </w:r>
          </w:p>
        </w:tc>
        <w:tc>
          <w:tcPr>
            <w:tcW w:w="900" w:type="dxa"/>
          </w:tcPr>
          <w:p w14:paraId="00000497"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98"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w:t>
            </w:r>
          </w:p>
        </w:tc>
        <w:tc>
          <w:tcPr>
            <w:tcW w:w="6060" w:type="dxa"/>
          </w:tcPr>
          <w:p w14:paraId="00000499" w14:textId="5E63A94D"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Pe site-ul ANAP </w:t>
            </w:r>
            <w:hyperlink r:id="rId21">
              <w:r w:rsidRPr="000D1EF3">
                <w:rPr>
                  <w:rFonts w:asciiTheme="majorHAnsi" w:hAnsiTheme="majorHAnsi" w:cstheme="majorHAnsi"/>
                  <w:color w:val="0563C1"/>
                  <w:sz w:val="24"/>
                  <w:szCs w:val="24"/>
                  <w:u w:val="single"/>
                </w:rPr>
                <w:t>http://anap.gov.ro/web/analize-si-rapoarte-statistice/?future=false</w:t>
              </w:r>
            </w:hyperlink>
            <w:r w:rsidRPr="000D1EF3">
              <w:rPr>
                <w:rFonts w:asciiTheme="majorHAnsi" w:hAnsiTheme="majorHAnsi" w:cstheme="majorHAnsi"/>
                <w:sz w:val="24"/>
                <w:szCs w:val="24"/>
              </w:rPr>
              <w:t xml:space="preserve"> sunt publicate date statistice rezultate în urma calculării acestor indicatori ai sistemului de achizi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publice.</w:t>
            </w:r>
          </w:p>
        </w:tc>
      </w:tr>
      <w:tr w:rsidR="00C62A9B" w:rsidRPr="000D1EF3" w14:paraId="2F65574B" w14:textId="77777777" w:rsidTr="00A83083">
        <w:tc>
          <w:tcPr>
            <w:tcW w:w="2122" w:type="dxa"/>
            <w:vMerge/>
          </w:tcPr>
          <w:p w14:paraId="0000049A" w14:textId="77777777" w:rsidR="00C62A9B" w:rsidRPr="000D1EF3" w:rsidRDefault="00C62A9B">
            <w:pPr>
              <w:spacing w:after="120"/>
              <w:rPr>
                <w:rFonts w:asciiTheme="majorHAnsi" w:hAnsiTheme="majorHAnsi" w:cstheme="majorHAnsi"/>
                <w:i/>
                <w:sz w:val="24"/>
                <w:szCs w:val="24"/>
              </w:rPr>
            </w:pPr>
          </w:p>
        </w:tc>
        <w:tc>
          <w:tcPr>
            <w:tcW w:w="850" w:type="dxa"/>
            <w:vMerge/>
          </w:tcPr>
          <w:p w14:paraId="0000049B" w14:textId="77777777" w:rsidR="00C62A9B" w:rsidRPr="000D1EF3" w:rsidRDefault="00C62A9B">
            <w:pPr>
              <w:spacing w:after="120"/>
              <w:rPr>
                <w:rFonts w:asciiTheme="majorHAnsi" w:hAnsiTheme="majorHAnsi" w:cstheme="majorHAnsi"/>
                <w:i/>
                <w:sz w:val="24"/>
                <w:szCs w:val="24"/>
              </w:rPr>
            </w:pPr>
          </w:p>
        </w:tc>
        <w:tc>
          <w:tcPr>
            <w:tcW w:w="3343" w:type="dxa"/>
          </w:tcPr>
          <w:p w14:paraId="0000049C" w14:textId="248E4265"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5.Măsuri care să asigure că toate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iile</w:t>
            </w:r>
            <w:r w:rsidRPr="000D1EF3">
              <w:rPr>
                <w:rFonts w:asciiTheme="majorHAnsi" w:hAnsiTheme="majorHAnsi" w:cstheme="majorHAnsi"/>
                <w:sz w:val="24"/>
                <w:szCs w:val="24"/>
              </w:rPr>
              <w:t xml:space="preserve"> privind </w:t>
            </w:r>
            <w:r w:rsidR="00AC653C" w:rsidRPr="000D1EF3">
              <w:rPr>
                <w:rFonts w:asciiTheme="majorHAnsi" w:hAnsiTheme="majorHAnsi" w:cstheme="majorHAnsi"/>
                <w:sz w:val="24"/>
                <w:szCs w:val="24"/>
              </w:rPr>
              <w:t>situa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iile</w:t>
            </w:r>
            <w:r w:rsidRPr="000D1EF3">
              <w:rPr>
                <w:rFonts w:asciiTheme="majorHAnsi" w:hAnsiTheme="majorHAnsi" w:cstheme="majorHAnsi"/>
                <w:sz w:val="24"/>
                <w:szCs w:val="24"/>
              </w:rPr>
              <w:t xml:space="preserve"> de denaturare a </w:t>
            </w:r>
            <w:r w:rsidR="00AC653C" w:rsidRPr="000D1EF3">
              <w:rPr>
                <w:rFonts w:asciiTheme="majorHAnsi" w:hAnsiTheme="majorHAnsi" w:cstheme="majorHAnsi"/>
                <w:sz w:val="24"/>
                <w:szCs w:val="24"/>
              </w:rPr>
              <w:t>concuren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ei</w:t>
            </w:r>
            <w:r w:rsidRPr="000D1EF3">
              <w:rPr>
                <w:rFonts w:asciiTheme="majorHAnsi" w:hAnsiTheme="majorHAnsi" w:cstheme="majorHAnsi"/>
                <w:sz w:val="24"/>
                <w:szCs w:val="24"/>
              </w:rPr>
              <w:t xml:space="preserve"> sunt comunicate </w:t>
            </w:r>
            <w:r w:rsidR="00AC653C" w:rsidRPr="000D1EF3">
              <w:rPr>
                <w:rFonts w:asciiTheme="majorHAnsi" w:hAnsiTheme="majorHAnsi" w:cstheme="majorHAnsi"/>
                <w:sz w:val="24"/>
                <w:szCs w:val="24"/>
              </w:rPr>
              <w:t>autorită</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ilor</w:t>
            </w:r>
            <w:r w:rsidRPr="000D1EF3">
              <w:rPr>
                <w:rFonts w:asciiTheme="majorHAnsi" w:hAnsiTheme="majorHAnsi" w:cstheme="majorHAnsi"/>
                <w:sz w:val="24"/>
                <w:szCs w:val="24"/>
              </w:rPr>
              <w:t xml:space="preserve"> </w:t>
            </w:r>
            <w:r w:rsidR="00AC653C"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ionale</w:t>
            </w:r>
            <w:r w:rsidRPr="000D1EF3">
              <w:rPr>
                <w:rFonts w:asciiTheme="majorHAnsi" w:hAnsiTheme="majorHAnsi" w:cstheme="majorHAnsi"/>
                <w:sz w:val="24"/>
                <w:szCs w:val="24"/>
              </w:rPr>
              <w:t xml:space="preserve"> competente în conformitate cu prevederile art.83(2) din Directiva 2014/24/EU şi art.99(2) din Directiva 2014/25/EU</w:t>
            </w:r>
          </w:p>
        </w:tc>
        <w:tc>
          <w:tcPr>
            <w:tcW w:w="900" w:type="dxa"/>
          </w:tcPr>
          <w:p w14:paraId="0000049D"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9E"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98/2016</w:t>
            </w:r>
          </w:p>
          <w:p w14:paraId="0000049F"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99/2016</w:t>
            </w:r>
          </w:p>
          <w:p w14:paraId="000004A0" w14:textId="77777777" w:rsidR="00C62A9B" w:rsidRPr="000D1EF3" w:rsidRDefault="00C62A9B">
            <w:pPr>
              <w:rPr>
                <w:rFonts w:asciiTheme="majorHAnsi" w:hAnsiTheme="majorHAnsi" w:cstheme="majorHAnsi"/>
                <w:sz w:val="24"/>
                <w:szCs w:val="24"/>
              </w:rPr>
            </w:pPr>
          </w:p>
        </w:tc>
        <w:tc>
          <w:tcPr>
            <w:tcW w:w="6060" w:type="dxa"/>
          </w:tcPr>
          <w:p w14:paraId="000004A1" w14:textId="1383912E"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Legea nr. 98/2016 privind </w:t>
            </w:r>
            <w:r w:rsidR="00AC653C" w:rsidRPr="000D1EF3">
              <w:rPr>
                <w:rFonts w:asciiTheme="majorHAnsi" w:hAnsiTheme="majorHAnsi" w:cstheme="majorHAnsi"/>
                <w:sz w:val="24"/>
                <w:szCs w:val="24"/>
              </w:rPr>
              <w:t>achizi</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iile</w:t>
            </w:r>
            <w:r w:rsidRPr="000D1EF3">
              <w:rPr>
                <w:rFonts w:asciiTheme="majorHAnsi" w:hAnsiTheme="majorHAnsi" w:cstheme="majorHAnsi"/>
                <w:sz w:val="24"/>
                <w:szCs w:val="24"/>
              </w:rPr>
              <w:t xml:space="preserve"> publice prevede în art.167(5), (6), (7) reglementări privind cazurile de </w:t>
            </w:r>
            <w:r w:rsidR="00AC653C" w:rsidRPr="000D1EF3">
              <w:rPr>
                <w:rFonts w:asciiTheme="majorHAnsi" w:hAnsiTheme="majorHAnsi" w:cstheme="majorHAnsi"/>
                <w:sz w:val="24"/>
                <w:szCs w:val="24"/>
              </w:rPr>
              <w:t>licita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“trucate”.</w:t>
            </w:r>
          </w:p>
          <w:p w14:paraId="000004A2" w14:textId="6319799E"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 xml:space="preserve">Legea nr. 99/2016 privind </w:t>
            </w:r>
            <w:r w:rsidR="00AC653C" w:rsidRPr="000D1EF3">
              <w:rPr>
                <w:rFonts w:asciiTheme="majorHAnsi" w:hAnsiTheme="majorHAnsi" w:cstheme="majorHAnsi"/>
                <w:sz w:val="24"/>
                <w:szCs w:val="24"/>
              </w:rPr>
              <w:t>achizi</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iile</w:t>
            </w:r>
            <w:r w:rsidRPr="000D1EF3">
              <w:rPr>
                <w:rFonts w:asciiTheme="majorHAnsi" w:hAnsiTheme="majorHAnsi" w:cstheme="majorHAnsi"/>
                <w:sz w:val="24"/>
                <w:szCs w:val="24"/>
              </w:rPr>
              <w:t xml:space="preserve"> sectoriale reglementează prin art.180 excluderea din procedura de atribuire a operatorilor economici </w:t>
            </w:r>
            <w:r w:rsidR="00AC653C" w:rsidRPr="000D1EF3">
              <w:rPr>
                <w:rFonts w:asciiTheme="majorHAnsi" w:hAnsiTheme="majorHAnsi" w:cstheme="majorHAnsi"/>
                <w:sz w:val="24"/>
                <w:szCs w:val="24"/>
              </w:rPr>
              <w:t>afla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în  </w:t>
            </w:r>
            <w:r w:rsidR="00AC653C" w:rsidRPr="000D1EF3">
              <w:rPr>
                <w:rFonts w:asciiTheme="majorHAnsi" w:hAnsiTheme="majorHAnsi" w:cstheme="majorHAnsi"/>
                <w:sz w:val="24"/>
                <w:szCs w:val="24"/>
              </w:rPr>
              <w:t>situa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de incompatibilitate.</w:t>
            </w:r>
          </w:p>
          <w:p w14:paraId="000004A3" w14:textId="3D0F182E"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 xml:space="preserve">În conformitate cu art.180(3) sunt precizate motivele de excludere a candidatului/ofertantului de la o </w:t>
            </w:r>
            <w:r w:rsidR="00AC653C" w:rsidRPr="000D1EF3">
              <w:rPr>
                <w:rFonts w:asciiTheme="majorHAnsi" w:hAnsiTheme="majorHAnsi" w:cstheme="majorHAnsi"/>
                <w:sz w:val="24"/>
                <w:szCs w:val="24"/>
              </w:rPr>
              <w:t>licita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ie</w:t>
            </w:r>
            <w:r w:rsidRPr="000D1EF3">
              <w:rPr>
                <w:rFonts w:asciiTheme="majorHAnsi" w:hAnsiTheme="majorHAnsi" w:cstheme="majorHAnsi"/>
                <w:sz w:val="24"/>
                <w:szCs w:val="24"/>
              </w:rPr>
              <w:t xml:space="preserve"> ce are suspiciunea de a fi “trucată”, art.180(4) precizează că trebuie solicitat un punct de vedere asupra </w:t>
            </w:r>
            <w:r w:rsidR="00AC653C" w:rsidRPr="000D1EF3">
              <w:rPr>
                <w:rFonts w:asciiTheme="majorHAnsi" w:hAnsiTheme="majorHAnsi" w:cstheme="majorHAnsi"/>
                <w:sz w:val="24"/>
                <w:szCs w:val="24"/>
              </w:rPr>
              <w:t>spe</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ei</w:t>
            </w:r>
            <w:r w:rsidRPr="000D1EF3">
              <w:rPr>
                <w:rFonts w:asciiTheme="majorHAnsi" w:hAnsiTheme="majorHAnsi" w:cstheme="majorHAnsi"/>
                <w:sz w:val="24"/>
                <w:szCs w:val="24"/>
              </w:rPr>
              <w:t xml:space="preserve"> către Consiliul </w:t>
            </w:r>
            <w:r w:rsidR="00AC653C" w:rsidRPr="000D1EF3">
              <w:rPr>
                <w:rFonts w:asciiTheme="majorHAnsi" w:hAnsiTheme="majorHAnsi" w:cstheme="majorHAnsi"/>
                <w:sz w:val="24"/>
                <w:szCs w:val="24"/>
              </w:rPr>
              <w:t>Concuren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ei</w:t>
            </w:r>
            <w:r w:rsidRPr="000D1EF3">
              <w:rPr>
                <w:rFonts w:asciiTheme="majorHAnsi" w:hAnsiTheme="majorHAnsi" w:cstheme="majorHAnsi"/>
                <w:sz w:val="24"/>
                <w:szCs w:val="24"/>
              </w:rPr>
              <w:t xml:space="preserve">, iar art.180(5) precizează că trebuie furnizate Consiliului </w:t>
            </w:r>
            <w:r w:rsidR="00AC653C" w:rsidRPr="000D1EF3">
              <w:rPr>
                <w:rFonts w:asciiTheme="majorHAnsi" w:hAnsiTheme="majorHAnsi" w:cstheme="majorHAnsi"/>
                <w:sz w:val="24"/>
                <w:szCs w:val="24"/>
              </w:rPr>
              <w:t>Concuren</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ei</w:t>
            </w:r>
            <w:r w:rsidRPr="000D1EF3">
              <w:rPr>
                <w:rFonts w:asciiTheme="majorHAnsi" w:hAnsiTheme="majorHAnsi" w:cstheme="majorHAnsi"/>
                <w:sz w:val="24"/>
                <w:szCs w:val="24"/>
              </w:rPr>
              <w:t xml:space="preserve"> toate </w:t>
            </w:r>
            <w:r w:rsidR="00AC653C" w:rsidRPr="000D1EF3">
              <w:rPr>
                <w:rFonts w:asciiTheme="majorHAnsi" w:hAnsiTheme="majorHAnsi" w:cstheme="majorHAnsi"/>
                <w:sz w:val="24"/>
                <w:szCs w:val="24"/>
              </w:rPr>
              <w:t>informa</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iile</w:t>
            </w:r>
            <w:r w:rsidRPr="000D1EF3">
              <w:rPr>
                <w:rFonts w:asciiTheme="majorHAnsi" w:hAnsiTheme="majorHAnsi" w:cstheme="majorHAnsi"/>
                <w:sz w:val="24"/>
                <w:szCs w:val="24"/>
              </w:rPr>
              <w:t xml:space="preserve"> solicitate de către acesta.</w:t>
            </w:r>
          </w:p>
        </w:tc>
      </w:tr>
      <w:tr w:rsidR="00C62A9B" w:rsidRPr="000D1EF3" w14:paraId="5DD2AD70" w14:textId="77777777">
        <w:trPr>
          <w:trHeight w:val="340"/>
        </w:trPr>
        <w:tc>
          <w:tcPr>
            <w:tcW w:w="15030" w:type="dxa"/>
            <w:gridSpan w:val="6"/>
          </w:tcPr>
          <w:p w14:paraId="000004A4" w14:textId="611D02E1" w:rsidR="00C62A9B" w:rsidRPr="000D1EF3" w:rsidRDefault="00D11CD4">
            <w:pPr>
              <w:rPr>
                <w:rFonts w:asciiTheme="majorHAnsi" w:eastAsia="Trebuchet MS" w:hAnsiTheme="majorHAnsi" w:cstheme="majorHAnsi"/>
                <w:b/>
                <w:sz w:val="24"/>
                <w:szCs w:val="24"/>
              </w:rPr>
            </w:pPr>
            <w:r w:rsidRPr="000D1EF3">
              <w:rPr>
                <w:rFonts w:asciiTheme="majorHAnsi" w:eastAsia="Trebuchet MS" w:hAnsiTheme="majorHAnsi" w:cstheme="majorHAnsi"/>
                <w:b/>
                <w:sz w:val="24"/>
                <w:szCs w:val="24"/>
              </w:rPr>
              <w:lastRenderedPageBreak/>
              <w:t xml:space="preserve">Instrumente </w:t>
            </w:r>
            <w:r w:rsidR="00AC653C" w:rsidRPr="000D1EF3">
              <w:rPr>
                <w:rFonts w:asciiTheme="majorHAnsi" w:eastAsia="Trebuchet MS" w:hAnsiTheme="majorHAnsi" w:cstheme="majorHAnsi"/>
                <w:b/>
                <w:sz w:val="24"/>
                <w:szCs w:val="24"/>
              </w:rPr>
              <w:t>și</w:t>
            </w:r>
            <w:r w:rsidRPr="000D1EF3">
              <w:rPr>
                <w:rFonts w:asciiTheme="majorHAnsi" w:eastAsia="Trebuchet MS" w:hAnsiTheme="majorHAnsi" w:cstheme="majorHAnsi"/>
                <w:b/>
                <w:sz w:val="24"/>
                <w:szCs w:val="24"/>
              </w:rPr>
              <w:t xml:space="preserve"> capacitatea pentru aplicarea eficace a normelor privind ajutoarele de stat</w:t>
            </w:r>
          </w:p>
          <w:p w14:paraId="000004A5" w14:textId="31046D12" w:rsidR="00C62A9B" w:rsidRPr="000D1EF3" w:rsidRDefault="00D11CD4">
            <w:pPr>
              <w:rPr>
                <w:rFonts w:asciiTheme="majorHAnsi" w:hAnsiTheme="majorHAnsi" w:cstheme="majorHAnsi"/>
                <w:i/>
                <w:sz w:val="24"/>
                <w:szCs w:val="24"/>
              </w:rPr>
            </w:pPr>
            <w:r w:rsidRPr="000D1EF3">
              <w:rPr>
                <w:rFonts w:asciiTheme="majorHAnsi" w:eastAsia="Trebuchet MS" w:hAnsiTheme="majorHAnsi" w:cstheme="majorHAnsi"/>
                <w:sz w:val="24"/>
                <w:szCs w:val="24"/>
              </w:rPr>
              <w:t>NU E APLICABIL conform prevederilor art</w:t>
            </w:r>
            <w:r w:rsidR="00AC653C" w:rsidRPr="000D1EF3">
              <w:rPr>
                <w:rFonts w:asciiTheme="majorHAnsi" w:eastAsia="Trebuchet MS" w:hAnsiTheme="majorHAnsi" w:cstheme="majorHAnsi"/>
                <w:sz w:val="24"/>
                <w:szCs w:val="24"/>
              </w:rPr>
              <w:t>.</w:t>
            </w:r>
            <w:r w:rsidRPr="000D1EF3">
              <w:rPr>
                <w:rFonts w:asciiTheme="majorHAnsi" w:eastAsia="Trebuchet MS" w:hAnsiTheme="majorHAnsi" w:cstheme="majorHAnsi"/>
                <w:sz w:val="24"/>
                <w:szCs w:val="24"/>
              </w:rPr>
              <w:t xml:space="preserve"> 15 (1) RDC</w:t>
            </w:r>
          </w:p>
        </w:tc>
      </w:tr>
      <w:tr w:rsidR="00C62A9B" w:rsidRPr="000D1EF3" w14:paraId="76548FAE" w14:textId="77777777" w:rsidTr="00A83083">
        <w:tc>
          <w:tcPr>
            <w:tcW w:w="2122" w:type="dxa"/>
            <w:vMerge w:val="restart"/>
          </w:tcPr>
          <w:p w14:paraId="000004AB" w14:textId="525F0D34" w:rsidR="00C62A9B" w:rsidRPr="000D1EF3" w:rsidRDefault="00D11CD4">
            <w:pPr>
              <w:rPr>
                <w:rFonts w:asciiTheme="majorHAnsi" w:hAnsiTheme="majorHAnsi" w:cstheme="majorHAnsi"/>
                <w:b/>
                <w:sz w:val="24"/>
                <w:szCs w:val="24"/>
              </w:rPr>
            </w:pPr>
            <w:r w:rsidRPr="000D1EF3">
              <w:rPr>
                <w:rFonts w:asciiTheme="majorHAnsi" w:hAnsiTheme="majorHAnsi" w:cstheme="majorHAnsi"/>
                <w:b/>
                <w:sz w:val="24"/>
                <w:szCs w:val="24"/>
              </w:rPr>
              <w:t xml:space="preserve">Aplicarea </w:t>
            </w:r>
            <w:r w:rsidR="00AC653C" w:rsidRPr="000D1EF3">
              <w:rPr>
                <w:rFonts w:asciiTheme="majorHAnsi" w:hAnsiTheme="majorHAnsi" w:cstheme="majorHAnsi"/>
                <w:b/>
                <w:sz w:val="24"/>
                <w:szCs w:val="24"/>
              </w:rPr>
              <w:t>și</w:t>
            </w:r>
            <w:r w:rsidRPr="000D1EF3">
              <w:rPr>
                <w:rFonts w:asciiTheme="majorHAnsi" w:hAnsiTheme="majorHAnsi" w:cstheme="majorHAnsi"/>
                <w:b/>
                <w:sz w:val="24"/>
                <w:szCs w:val="24"/>
              </w:rPr>
              <w:t xml:space="preserve"> implementarea eficientă a Cartei UE privind Drepturile Fundamentale</w:t>
            </w:r>
          </w:p>
        </w:tc>
        <w:tc>
          <w:tcPr>
            <w:tcW w:w="850" w:type="dxa"/>
            <w:vMerge w:val="restart"/>
          </w:tcPr>
          <w:p w14:paraId="000004AC"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3343" w:type="dxa"/>
          </w:tcPr>
          <w:p w14:paraId="000004AD" w14:textId="5AC96B4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Mecanisme eficiente sunt în vigoare pentru asigurarea </w:t>
            </w:r>
            <w:r w:rsidR="00AC653C" w:rsidRPr="000D1EF3">
              <w:rPr>
                <w:rFonts w:asciiTheme="majorHAnsi" w:hAnsiTheme="majorHAnsi" w:cstheme="majorHAnsi"/>
                <w:sz w:val="24"/>
                <w:szCs w:val="24"/>
              </w:rPr>
              <w:t>conformită</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ii</w:t>
            </w:r>
            <w:r w:rsidRPr="000D1EF3">
              <w:rPr>
                <w:rFonts w:asciiTheme="majorHAnsi" w:hAnsiTheme="majorHAnsi" w:cstheme="majorHAnsi"/>
                <w:sz w:val="24"/>
                <w:szCs w:val="24"/>
              </w:rPr>
              <w:t xml:space="preserve"> cu Carta UE privind Drepturile Fundamentale:</w:t>
            </w:r>
          </w:p>
          <w:p w14:paraId="000004AE" w14:textId="3FCFCAFD"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1. </w:t>
            </w:r>
            <w:r w:rsidR="00AC653C" w:rsidRPr="000D1EF3">
              <w:rPr>
                <w:rFonts w:asciiTheme="majorHAnsi" w:hAnsiTheme="majorHAnsi" w:cstheme="majorHAnsi"/>
                <w:sz w:val="24"/>
                <w:szCs w:val="24"/>
              </w:rPr>
              <w:t>Modalită</w:t>
            </w:r>
            <w:r w:rsidR="00812FFF" w:rsidRPr="000D1EF3">
              <w:rPr>
                <w:rFonts w:asciiTheme="majorHAnsi" w:hAnsiTheme="majorHAnsi" w:cstheme="majorHAnsi"/>
                <w:sz w:val="24"/>
                <w:szCs w:val="24"/>
              </w:rPr>
              <w:t>ț</w:t>
            </w:r>
            <w:r w:rsidR="00AC653C" w:rsidRPr="000D1EF3">
              <w:rPr>
                <w:rFonts w:asciiTheme="majorHAnsi" w:hAnsiTheme="majorHAnsi" w:cstheme="majorHAnsi"/>
                <w:sz w:val="24"/>
                <w:szCs w:val="24"/>
              </w:rPr>
              <w:t>i</w:t>
            </w:r>
            <w:r w:rsidRPr="000D1EF3">
              <w:rPr>
                <w:rFonts w:asciiTheme="majorHAnsi" w:hAnsiTheme="majorHAnsi" w:cstheme="majorHAnsi"/>
                <w:sz w:val="24"/>
                <w:szCs w:val="24"/>
              </w:rPr>
              <w:t xml:space="preserve"> prin care se asigură conformitatea programelor sprijinite de Fonduri </w:t>
            </w:r>
            <w:r w:rsidR="00AC653C" w:rsidRPr="000D1EF3">
              <w:rPr>
                <w:rFonts w:asciiTheme="majorHAnsi" w:hAnsiTheme="majorHAnsi" w:cstheme="majorHAnsi"/>
                <w:sz w:val="24"/>
                <w:szCs w:val="24"/>
              </w:rPr>
              <w:t>și</w:t>
            </w:r>
            <w:r w:rsidRPr="000D1EF3">
              <w:rPr>
                <w:rFonts w:asciiTheme="majorHAnsi" w:hAnsiTheme="majorHAnsi" w:cstheme="majorHAnsi"/>
                <w:sz w:val="24"/>
                <w:szCs w:val="24"/>
              </w:rPr>
              <w:t xml:space="preserve"> implementarea lor cu prevederile relevante ale Cartei</w:t>
            </w:r>
          </w:p>
        </w:tc>
        <w:tc>
          <w:tcPr>
            <w:tcW w:w="900" w:type="dxa"/>
          </w:tcPr>
          <w:p w14:paraId="000004AF"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B0" w14:textId="77777777" w:rsidR="00C62A9B" w:rsidRPr="000D1EF3" w:rsidRDefault="00C62A9B">
            <w:pPr>
              <w:rPr>
                <w:rFonts w:asciiTheme="majorHAnsi" w:hAnsiTheme="majorHAnsi" w:cstheme="majorHAnsi"/>
                <w:sz w:val="24"/>
                <w:szCs w:val="24"/>
              </w:rPr>
            </w:pPr>
          </w:p>
          <w:p w14:paraId="000004B1" w14:textId="77777777" w:rsidR="00C62A9B" w:rsidRPr="000D1EF3" w:rsidRDefault="00C62A9B">
            <w:pPr>
              <w:rPr>
                <w:rFonts w:asciiTheme="majorHAnsi" w:hAnsiTheme="majorHAnsi" w:cstheme="majorHAnsi"/>
                <w:sz w:val="24"/>
                <w:szCs w:val="24"/>
              </w:rPr>
            </w:pPr>
          </w:p>
          <w:p w14:paraId="000004B2" w14:textId="77777777" w:rsidR="00C62A9B" w:rsidRPr="000D1EF3" w:rsidRDefault="00C62A9B">
            <w:pPr>
              <w:rPr>
                <w:rFonts w:asciiTheme="majorHAnsi" w:hAnsiTheme="majorHAnsi" w:cstheme="majorHAnsi"/>
                <w:sz w:val="24"/>
                <w:szCs w:val="24"/>
              </w:rPr>
            </w:pPr>
          </w:p>
          <w:p w14:paraId="000004B3" w14:textId="77777777" w:rsidR="00C62A9B" w:rsidRPr="000D1EF3" w:rsidRDefault="00C62A9B">
            <w:pPr>
              <w:rPr>
                <w:rFonts w:asciiTheme="majorHAnsi" w:hAnsiTheme="majorHAnsi" w:cstheme="majorHAnsi"/>
                <w:sz w:val="24"/>
                <w:szCs w:val="24"/>
              </w:rPr>
            </w:pPr>
          </w:p>
          <w:p w14:paraId="000004B4" w14:textId="77777777" w:rsidR="00C62A9B" w:rsidRPr="000D1EF3" w:rsidRDefault="00C62A9B">
            <w:pPr>
              <w:rPr>
                <w:rFonts w:asciiTheme="majorHAnsi" w:hAnsiTheme="majorHAnsi" w:cstheme="majorHAnsi"/>
                <w:sz w:val="24"/>
                <w:szCs w:val="24"/>
              </w:rPr>
            </w:pPr>
          </w:p>
          <w:p w14:paraId="000004B5" w14:textId="77777777" w:rsidR="00C62A9B" w:rsidRPr="000D1EF3" w:rsidRDefault="00C62A9B">
            <w:pPr>
              <w:rPr>
                <w:rFonts w:asciiTheme="majorHAnsi" w:hAnsiTheme="majorHAnsi" w:cstheme="majorHAnsi"/>
                <w:sz w:val="24"/>
                <w:szCs w:val="24"/>
              </w:rPr>
            </w:pPr>
          </w:p>
          <w:p w14:paraId="000004B6" w14:textId="77777777" w:rsidR="00C62A9B" w:rsidRPr="000D1EF3" w:rsidRDefault="00C62A9B">
            <w:pPr>
              <w:rPr>
                <w:rFonts w:asciiTheme="majorHAnsi" w:hAnsiTheme="majorHAnsi" w:cstheme="majorHAnsi"/>
                <w:sz w:val="24"/>
                <w:szCs w:val="24"/>
              </w:rPr>
            </w:pPr>
          </w:p>
        </w:tc>
        <w:tc>
          <w:tcPr>
            <w:tcW w:w="6060" w:type="dxa"/>
            <w:vMerge w:val="restart"/>
          </w:tcPr>
          <w:p w14:paraId="000004B7" w14:textId="00E4D003"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a fost elaborată o propunere de Ghid pentru aplicarea Cartei Drepturilor Fundamentale UE în implementarea fondurilor europene, ghid care se asigură că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și verificările pentru respectarea dispozi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Cartei sunt integrate în toate etapele, documentele și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derulate implicând resurse financiare UE.</w:t>
            </w:r>
          </w:p>
          <w:p w14:paraId="000004B8" w14:textId="488BF9BA" w:rsidR="00C62A9B" w:rsidRPr="000D1EF3" w:rsidRDefault="00D11CD4" w:rsidP="00AC653C">
            <w:pPr>
              <w:jc w:val="both"/>
              <w:rPr>
                <w:rFonts w:asciiTheme="majorHAnsi" w:hAnsiTheme="majorHAnsi" w:cstheme="majorHAnsi"/>
                <w:sz w:val="24"/>
                <w:szCs w:val="24"/>
              </w:rPr>
            </w:pPr>
            <w:r w:rsidRPr="000D1EF3">
              <w:rPr>
                <w:rFonts w:asciiTheme="majorHAnsi" w:hAnsiTheme="majorHAnsi" w:cstheme="majorHAnsi"/>
                <w:sz w:val="24"/>
                <w:szCs w:val="24"/>
              </w:rPr>
              <w:t>Ghidul include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management și a celorlalte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implicate în implementarea fondurilor, în redactarea lui luându-se în considerare și opiniile avizate ale Agen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pentru Drepturi Fundamentale . Acesta urmează să fie supus consultării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management și altor entită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w:t>
            </w:r>
          </w:p>
          <w:p w14:paraId="000004B9" w14:textId="77777777" w:rsidR="00C62A9B" w:rsidRPr="000D1EF3" w:rsidRDefault="00C62A9B">
            <w:pPr>
              <w:rPr>
                <w:rFonts w:asciiTheme="majorHAnsi" w:hAnsiTheme="majorHAnsi" w:cstheme="majorHAnsi"/>
                <w:sz w:val="24"/>
                <w:szCs w:val="24"/>
              </w:rPr>
            </w:pPr>
          </w:p>
          <w:p w14:paraId="000004BA" w14:textId="01EBD0B4"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Fondurile UE nu vor sprijini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iuni care să contribuie la vreo formă de încălcare a drepturilor fundamentare, </w:t>
            </w:r>
            <w:r w:rsidR="00AC653C" w:rsidRPr="000D1EF3">
              <w:rPr>
                <w:rFonts w:asciiTheme="majorHAnsi" w:hAnsiTheme="majorHAnsi" w:cstheme="majorHAnsi"/>
                <w:sz w:val="24"/>
                <w:szCs w:val="24"/>
              </w:rPr>
              <w:t>promovând</w:t>
            </w:r>
            <w:r w:rsidRPr="000D1EF3">
              <w:rPr>
                <w:rFonts w:asciiTheme="majorHAnsi" w:hAnsiTheme="majorHAnsi" w:cstheme="majorHAnsi"/>
                <w:sz w:val="24"/>
                <w:szCs w:val="24"/>
              </w:rPr>
              <w:t xml:space="preserv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privind nediscriminarea și de promovarea drepturilor fundamentale și a egalită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de șanse. </w:t>
            </w:r>
          </w:p>
          <w:p w14:paraId="000004BB" w14:textId="1293DC8F" w:rsidR="00C62A9B" w:rsidRPr="000D1EF3" w:rsidRDefault="00D11CD4">
            <w:pPr>
              <w:jc w:val="both"/>
              <w:rPr>
                <w:rFonts w:asciiTheme="majorHAnsi" w:hAnsiTheme="majorHAnsi" w:cstheme="majorHAnsi"/>
                <w:sz w:val="24"/>
                <w:szCs w:val="24"/>
              </w:rPr>
            </w:pPr>
            <w:r w:rsidRPr="000D1EF3">
              <w:rPr>
                <w:rFonts w:asciiTheme="majorHAnsi" w:hAnsiTheme="majorHAnsi" w:cstheme="majorHAnsi"/>
                <w:sz w:val="24"/>
                <w:szCs w:val="24"/>
              </w:rPr>
              <w:t>În cadrul reuniunilor Comitetului de Monitorizare vor putea fi semnalate orice situa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neconformitate ale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ate din Fond cu prevederile Cartei </w:t>
            </w:r>
          </w:p>
        </w:tc>
      </w:tr>
      <w:tr w:rsidR="00C62A9B" w:rsidRPr="000D1EF3" w14:paraId="2518F8EE" w14:textId="77777777" w:rsidTr="00A83083">
        <w:tc>
          <w:tcPr>
            <w:tcW w:w="2122" w:type="dxa"/>
            <w:vMerge/>
          </w:tcPr>
          <w:p w14:paraId="000004BC" w14:textId="77777777" w:rsidR="00C62A9B" w:rsidRPr="000D1EF3" w:rsidRDefault="00C62A9B">
            <w:pPr>
              <w:spacing w:after="120"/>
              <w:rPr>
                <w:rFonts w:asciiTheme="majorHAnsi" w:hAnsiTheme="majorHAnsi" w:cstheme="majorHAnsi"/>
                <w:i/>
                <w:sz w:val="24"/>
                <w:szCs w:val="24"/>
              </w:rPr>
            </w:pPr>
          </w:p>
        </w:tc>
        <w:tc>
          <w:tcPr>
            <w:tcW w:w="850" w:type="dxa"/>
            <w:vMerge/>
          </w:tcPr>
          <w:p w14:paraId="000004BD" w14:textId="77777777" w:rsidR="00C62A9B" w:rsidRPr="000D1EF3" w:rsidRDefault="00C62A9B">
            <w:pPr>
              <w:spacing w:after="120"/>
              <w:rPr>
                <w:rFonts w:asciiTheme="majorHAnsi" w:hAnsiTheme="majorHAnsi" w:cstheme="majorHAnsi"/>
                <w:i/>
                <w:sz w:val="24"/>
                <w:szCs w:val="24"/>
              </w:rPr>
            </w:pPr>
          </w:p>
        </w:tc>
        <w:tc>
          <w:tcPr>
            <w:tcW w:w="3343" w:type="dxa"/>
          </w:tcPr>
          <w:p w14:paraId="000004BE" w14:textId="77777777" w:rsidR="00C62A9B" w:rsidRPr="000D1EF3" w:rsidRDefault="00C62A9B">
            <w:pPr>
              <w:rPr>
                <w:rFonts w:asciiTheme="majorHAnsi" w:eastAsia="Trebuchet MS" w:hAnsiTheme="majorHAnsi" w:cstheme="majorHAnsi"/>
                <w:i/>
                <w:sz w:val="24"/>
                <w:szCs w:val="24"/>
              </w:rPr>
            </w:pPr>
          </w:p>
        </w:tc>
        <w:tc>
          <w:tcPr>
            <w:tcW w:w="900" w:type="dxa"/>
          </w:tcPr>
          <w:p w14:paraId="000004BF" w14:textId="77777777" w:rsidR="00C62A9B" w:rsidRPr="000D1EF3" w:rsidRDefault="00C62A9B">
            <w:pPr>
              <w:rPr>
                <w:rFonts w:asciiTheme="majorHAnsi" w:eastAsia="Trebuchet MS" w:hAnsiTheme="majorHAnsi" w:cstheme="majorHAnsi"/>
                <w:sz w:val="24"/>
                <w:szCs w:val="24"/>
                <w:highlight w:val="cyan"/>
              </w:rPr>
            </w:pPr>
          </w:p>
        </w:tc>
        <w:tc>
          <w:tcPr>
            <w:tcW w:w="1755" w:type="dxa"/>
          </w:tcPr>
          <w:p w14:paraId="000004C0" w14:textId="77777777" w:rsidR="00C62A9B" w:rsidRPr="000D1EF3" w:rsidRDefault="00C62A9B">
            <w:pPr>
              <w:rPr>
                <w:rFonts w:asciiTheme="majorHAnsi" w:eastAsia="Trebuchet MS" w:hAnsiTheme="majorHAnsi" w:cstheme="majorHAnsi"/>
                <w:sz w:val="24"/>
                <w:szCs w:val="24"/>
              </w:rPr>
            </w:pPr>
          </w:p>
        </w:tc>
        <w:tc>
          <w:tcPr>
            <w:tcW w:w="6060" w:type="dxa"/>
            <w:vMerge/>
          </w:tcPr>
          <w:p w14:paraId="000004C1" w14:textId="77777777" w:rsidR="00C62A9B" w:rsidRPr="000D1EF3" w:rsidRDefault="00C62A9B">
            <w:pPr>
              <w:rPr>
                <w:rFonts w:asciiTheme="majorHAnsi" w:hAnsiTheme="majorHAnsi" w:cstheme="majorHAnsi"/>
                <w:sz w:val="24"/>
                <w:szCs w:val="24"/>
              </w:rPr>
            </w:pPr>
          </w:p>
        </w:tc>
      </w:tr>
      <w:tr w:rsidR="00C62A9B" w:rsidRPr="000D1EF3" w14:paraId="4A127988" w14:textId="77777777" w:rsidTr="00A83083">
        <w:tc>
          <w:tcPr>
            <w:tcW w:w="2122" w:type="dxa"/>
            <w:vMerge w:val="restart"/>
          </w:tcPr>
          <w:p w14:paraId="000004C2" w14:textId="5C88AC30" w:rsidR="00C62A9B" w:rsidRPr="000D1EF3" w:rsidRDefault="00D11CD4">
            <w:pPr>
              <w:rPr>
                <w:rFonts w:asciiTheme="majorHAnsi" w:hAnsiTheme="majorHAnsi" w:cstheme="majorHAnsi"/>
                <w:b/>
                <w:sz w:val="24"/>
                <w:szCs w:val="24"/>
              </w:rPr>
            </w:pPr>
            <w:r w:rsidRPr="000D1EF3">
              <w:rPr>
                <w:rFonts w:asciiTheme="majorHAnsi" w:hAnsiTheme="majorHAnsi" w:cstheme="majorHAnsi"/>
                <w:b/>
                <w:sz w:val="24"/>
                <w:szCs w:val="24"/>
              </w:rPr>
              <w:t xml:space="preserve">Implementarea </w:t>
            </w:r>
            <w:r w:rsidR="00947AA8" w:rsidRPr="000D1EF3">
              <w:rPr>
                <w:rFonts w:asciiTheme="majorHAnsi" w:hAnsiTheme="majorHAnsi" w:cstheme="majorHAnsi"/>
                <w:b/>
                <w:sz w:val="24"/>
                <w:szCs w:val="24"/>
              </w:rPr>
              <w:t>și</w:t>
            </w:r>
            <w:r w:rsidRPr="000D1EF3">
              <w:rPr>
                <w:rFonts w:asciiTheme="majorHAnsi" w:hAnsiTheme="majorHAnsi" w:cstheme="majorHAnsi"/>
                <w:b/>
                <w:sz w:val="24"/>
                <w:szCs w:val="24"/>
              </w:rPr>
              <w:t xml:space="preserve"> aplicarea </w:t>
            </w:r>
            <w:r w:rsidR="00947AA8" w:rsidRPr="000D1EF3">
              <w:rPr>
                <w:rFonts w:asciiTheme="majorHAnsi" w:hAnsiTheme="majorHAnsi" w:cstheme="majorHAnsi"/>
                <w:b/>
                <w:sz w:val="24"/>
                <w:szCs w:val="24"/>
              </w:rPr>
              <w:t>Conven</w:t>
            </w:r>
            <w:r w:rsidR="00812FFF" w:rsidRPr="000D1EF3">
              <w:rPr>
                <w:rFonts w:asciiTheme="majorHAnsi" w:hAnsiTheme="majorHAnsi" w:cstheme="majorHAnsi"/>
                <w:b/>
                <w:sz w:val="24"/>
                <w:szCs w:val="24"/>
              </w:rPr>
              <w:t>ț</w:t>
            </w:r>
            <w:r w:rsidR="00947AA8" w:rsidRPr="000D1EF3">
              <w:rPr>
                <w:rFonts w:asciiTheme="majorHAnsi" w:hAnsiTheme="majorHAnsi" w:cstheme="majorHAnsi"/>
                <w:b/>
                <w:sz w:val="24"/>
                <w:szCs w:val="24"/>
              </w:rPr>
              <w:t>iei</w:t>
            </w:r>
            <w:r w:rsidRPr="000D1EF3">
              <w:rPr>
                <w:rFonts w:asciiTheme="majorHAnsi" w:hAnsiTheme="majorHAnsi" w:cstheme="majorHAnsi"/>
                <w:b/>
                <w:sz w:val="24"/>
                <w:szCs w:val="24"/>
              </w:rPr>
              <w:t xml:space="preserve"> </w:t>
            </w:r>
            <w:r w:rsidR="00947AA8" w:rsidRPr="000D1EF3">
              <w:rPr>
                <w:rFonts w:asciiTheme="majorHAnsi" w:hAnsiTheme="majorHAnsi" w:cstheme="majorHAnsi"/>
                <w:b/>
                <w:sz w:val="24"/>
                <w:szCs w:val="24"/>
              </w:rPr>
              <w:t>Organiza</w:t>
            </w:r>
            <w:r w:rsidR="00812FFF" w:rsidRPr="000D1EF3">
              <w:rPr>
                <w:rFonts w:asciiTheme="majorHAnsi" w:hAnsiTheme="majorHAnsi" w:cstheme="majorHAnsi"/>
                <w:b/>
                <w:sz w:val="24"/>
                <w:szCs w:val="24"/>
              </w:rPr>
              <w:t>ț</w:t>
            </w:r>
            <w:r w:rsidR="00947AA8" w:rsidRPr="000D1EF3">
              <w:rPr>
                <w:rFonts w:asciiTheme="majorHAnsi" w:hAnsiTheme="majorHAnsi" w:cstheme="majorHAnsi"/>
                <w:b/>
                <w:sz w:val="24"/>
                <w:szCs w:val="24"/>
              </w:rPr>
              <w:t>iei</w:t>
            </w:r>
            <w:r w:rsidRPr="000D1EF3">
              <w:rPr>
                <w:rFonts w:asciiTheme="majorHAnsi" w:hAnsiTheme="majorHAnsi" w:cstheme="majorHAnsi"/>
                <w:b/>
                <w:sz w:val="24"/>
                <w:szCs w:val="24"/>
              </w:rPr>
              <w:t xml:space="preserve"> </w:t>
            </w:r>
            <w:r w:rsidR="00947AA8" w:rsidRPr="000D1EF3">
              <w:rPr>
                <w:rFonts w:asciiTheme="majorHAnsi" w:hAnsiTheme="majorHAnsi" w:cstheme="majorHAnsi"/>
                <w:b/>
                <w:sz w:val="24"/>
                <w:szCs w:val="24"/>
              </w:rPr>
              <w:t>Na</w:t>
            </w:r>
            <w:r w:rsidR="00812FFF" w:rsidRPr="000D1EF3">
              <w:rPr>
                <w:rFonts w:asciiTheme="majorHAnsi" w:hAnsiTheme="majorHAnsi" w:cstheme="majorHAnsi"/>
                <w:b/>
                <w:sz w:val="24"/>
                <w:szCs w:val="24"/>
              </w:rPr>
              <w:t>ț</w:t>
            </w:r>
            <w:r w:rsidR="00947AA8" w:rsidRPr="000D1EF3">
              <w:rPr>
                <w:rFonts w:asciiTheme="majorHAnsi" w:hAnsiTheme="majorHAnsi" w:cstheme="majorHAnsi"/>
                <w:b/>
                <w:sz w:val="24"/>
                <w:szCs w:val="24"/>
              </w:rPr>
              <w:t>iunilor</w:t>
            </w:r>
            <w:r w:rsidRPr="000D1EF3">
              <w:rPr>
                <w:rFonts w:asciiTheme="majorHAnsi" w:hAnsiTheme="majorHAnsi" w:cstheme="majorHAnsi"/>
                <w:b/>
                <w:sz w:val="24"/>
                <w:szCs w:val="24"/>
              </w:rPr>
              <w:t xml:space="preserve"> Unite privind drepturile persoanelor cu </w:t>
            </w:r>
            <w:r w:rsidR="00947AA8" w:rsidRPr="000D1EF3">
              <w:rPr>
                <w:rFonts w:asciiTheme="majorHAnsi" w:hAnsiTheme="majorHAnsi" w:cstheme="majorHAnsi"/>
                <w:b/>
                <w:sz w:val="24"/>
                <w:szCs w:val="24"/>
              </w:rPr>
              <w:t>dizabilită</w:t>
            </w:r>
            <w:r w:rsidR="00812FFF" w:rsidRPr="000D1EF3">
              <w:rPr>
                <w:rFonts w:asciiTheme="majorHAnsi" w:hAnsiTheme="majorHAnsi" w:cstheme="majorHAnsi"/>
                <w:b/>
                <w:sz w:val="24"/>
                <w:szCs w:val="24"/>
              </w:rPr>
              <w:t>ț</w:t>
            </w:r>
            <w:r w:rsidR="00947AA8" w:rsidRPr="000D1EF3">
              <w:rPr>
                <w:rFonts w:asciiTheme="majorHAnsi" w:hAnsiTheme="majorHAnsi" w:cstheme="majorHAnsi"/>
                <w:b/>
                <w:sz w:val="24"/>
                <w:szCs w:val="24"/>
              </w:rPr>
              <w:t>i</w:t>
            </w:r>
            <w:r w:rsidRPr="000D1EF3">
              <w:rPr>
                <w:rFonts w:asciiTheme="majorHAnsi" w:hAnsiTheme="majorHAnsi" w:cstheme="majorHAnsi"/>
                <w:b/>
                <w:sz w:val="24"/>
                <w:szCs w:val="24"/>
              </w:rPr>
              <w:t xml:space="preserve"> (UNCRPD) în acord </w:t>
            </w:r>
            <w:r w:rsidRPr="000D1EF3">
              <w:rPr>
                <w:rFonts w:asciiTheme="majorHAnsi" w:hAnsiTheme="majorHAnsi" w:cstheme="majorHAnsi"/>
                <w:b/>
                <w:sz w:val="24"/>
                <w:szCs w:val="24"/>
              </w:rPr>
              <w:lastRenderedPageBreak/>
              <w:t>cu Decizia Consiliului 2010/48/EC</w:t>
            </w:r>
          </w:p>
        </w:tc>
        <w:tc>
          <w:tcPr>
            <w:tcW w:w="850" w:type="dxa"/>
            <w:vMerge w:val="restart"/>
          </w:tcPr>
          <w:p w14:paraId="000004C3"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lastRenderedPageBreak/>
              <w:t>DA</w:t>
            </w:r>
          </w:p>
        </w:tc>
        <w:tc>
          <w:tcPr>
            <w:tcW w:w="3343" w:type="dxa"/>
          </w:tcPr>
          <w:p w14:paraId="000004C4" w14:textId="5079FBDD"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Un cadru </w:t>
            </w:r>
            <w:r w:rsidR="00947AA8" w:rsidRPr="000D1EF3">
              <w:rPr>
                <w:rFonts w:asciiTheme="majorHAnsi" w:hAnsiTheme="majorHAnsi" w:cstheme="majorHAnsi"/>
                <w:sz w:val="24"/>
                <w:szCs w:val="24"/>
              </w:rPr>
              <w:t>na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ional</w:t>
            </w:r>
            <w:r w:rsidRPr="000D1EF3">
              <w:rPr>
                <w:rFonts w:asciiTheme="majorHAnsi" w:hAnsiTheme="majorHAnsi" w:cstheme="majorHAnsi"/>
                <w:sz w:val="24"/>
                <w:szCs w:val="24"/>
              </w:rPr>
              <w:t xml:space="preserve"> care să asigure implementarea UNCRPD care include:</w:t>
            </w:r>
          </w:p>
          <w:p w14:paraId="000004C5" w14:textId="540B185F"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1.Obiective cu </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inte</w:t>
            </w:r>
            <w:r w:rsidRPr="000D1EF3">
              <w:rPr>
                <w:rFonts w:asciiTheme="majorHAnsi" w:hAnsiTheme="majorHAnsi" w:cstheme="majorHAnsi"/>
                <w:sz w:val="24"/>
                <w:szCs w:val="24"/>
              </w:rPr>
              <w:t xml:space="preserve"> măsurabile, mecanisme pentru colectare date </w:t>
            </w:r>
            <w:r w:rsidR="00947AA8" w:rsidRPr="000D1EF3">
              <w:rPr>
                <w:rFonts w:asciiTheme="majorHAnsi" w:hAnsiTheme="majorHAnsi" w:cstheme="majorHAnsi"/>
                <w:sz w:val="24"/>
                <w:szCs w:val="24"/>
              </w:rPr>
              <w:t>și</w:t>
            </w:r>
            <w:r w:rsidRPr="000D1EF3">
              <w:rPr>
                <w:rFonts w:asciiTheme="majorHAnsi" w:hAnsiTheme="majorHAnsi" w:cstheme="majorHAnsi"/>
                <w:sz w:val="24"/>
                <w:szCs w:val="24"/>
              </w:rPr>
              <w:t xml:space="preserve"> monitorizare </w:t>
            </w:r>
          </w:p>
        </w:tc>
        <w:tc>
          <w:tcPr>
            <w:tcW w:w="900" w:type="dxa"/>
          </w:tcPr>
          <w:p w14:paraId="000004C6"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p w14:paraId="000004C7" w14:textId="77777777" w:rsidR="00C62A9B" w:rsidRPr="000D1EF3" w:rsidRDefault="00C62A9B">
            <w:pPr>
              <w:rPr>
                <w:rFonts w:asciiTheme="majorHAnsi" w:hAnsiTheme="majorHAnsi" w:cstheme="majorHAnsi"/>
                <w:sz w:val="24"/>
                <w:szCs w:val="24"/>
              </w:rPr>
            </w:pPr>
          </w:p>
          <w:p w14:paraId="000004C8" w14:textId="77777777" w:rsidR="00C62A9B" w:rsidRPr="000D1EF3" w:rsidRDefault="00C62A9B">
            <w:pPr>
              <w:rPr>
                <w:rFonts w:asciiTheme="majorHAnsi" w:hAnsiTheme="majorHAnsi" w:cstheme="majorHAnsi"/>
                <w:sz w:val="24"/>
                <w:szCs w:val="24"/>
              </w:rPr>
            </w:pPr>
          </w:p>
          <w:p w14:paraId="000004C9" w14:textId="77777777" w:rsidR="00C62A9B" w:rsidRPr="000D1EF3" w:rsidRDefault="00C62A9B">
            <w:pPr>
              <w:rPr>
                <w:rFonts w:asciiTheme="majorHAnsi" w:hAnsiTheme="majorHAnsi" w:cstheme="majorHAnsi"/>
                <w:sz w:val="24"/>
                <w:szCs w:val="24"/>
              </w:rPr>
            </w:pPr>
          </w:p>
          <w:p w14:paraId="000004CA" w14:textId="77777777" w:rsidR="00C62A9B" w:rsidRPr="000D1EF3" w:rsidRDefault="00C62A9B">
            <w:pPr>
              <w:rPr>
                <w:rFonts w:asciiTheme="majorHAnsi" w:hAnsiTheme="majorHAnsi" w:cstheme="majorHAnsi"/>
                <w:sz w:val="24"/>
                <w:szCs w:val="24"/>
              </w:rPr>
            </w:pPr>
          </w:p>
        </w:tc>
        <w:tc>
          <w:tcPr>
            <w:tcW w:w="1755" w:type="dxa"/>
          </w:tcPr>
          <w:p w14:paraId="000004CB" w14:textId="77777777" w:rsidR="00C62A9B" w:rsidRPr="000D1EF3" w:rsidRDefault="00C62A9B">
            <w:pPr>
              <w:rPr>
                <w:rFonts w:asciiTheme="majorHAnsi" w:hAnsiTheme="majorHAnsi" w:cstheme="majorHAnsi"/>
                <w:sz w:val="24"/>
                <w:szCs w:val="24"/>
              </w:rPr>
            </w:pPr>
          </w:p>
          <w:p w14:paraId="000004CC" w14:textId="77777777" w:rsidR="00C62A9B" w:rsidRPr="000D1EF3" w:rsidRDefault="00C62A9B">
            <w:pPr>
              <w:rPr>
                <w:rFonts w:asciiTheme="majorHAnsi" w:hAnsiTheme="majorHAnsi" w:cstheme="majorHAnsi"/>
                <w:sz w:val="24"/>
                <w:szCs w:val="24"/>
              </w:rPr>
            </w:pPr>
          </w:p>
          <w:p w14:paraId="000004CD" w14:textId="77777777" w:rsidR="00C62A9B" w:rsidRPr="000D1EF3" w:rsidRDefault="00C62A9B">
            <w:pPr>
              <w:rPr>
                <w:rFonts w:asciiTheme="majorHAnsi" w:hAnsiTheme="majorHAnsi" w:cstheme="majorHAnsi"/>
                <w:sz w:val="24"/>
                <w:szCs w:val="24"/>
              </w:rPr>
            </w:pPr>
          </w:p>
          <w:p w14:paraId="000004CE" w14:textId="77777777" w:rsidR="00C62A9B" w:rsidRPr="000D1EF3" w:rsidRDefault="00C62A9B">
            <w:pPr>
              <w:rPr>
                <w:rFonts w:asciiTheme="majorHAnsi" w:hAnsiTheme="majorHAnsi" w:cstheme="majorHAnsi"/>
                <w:sz w:val="24"/>
                <w:szCs w:val="24"/>
              </w:rPr>
            </w:pPr>
          </w:p>
          <w:p w14:paraId="000004CF" w14:textId="07733F29"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Strategia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ională ”O societate fără bariere pentru persoanele cu </w:t>
            </w:r>
            <w:r w:rsidRPr="000D1EF3">
              <w:rPr>
                <w:rFonts w:asciiTheme="majorHAnsi" w:hAnsiTheme="majorHAnsi" w:cstheme="majorHAnsi"/>
                <w:sz w:val="24"/>
                <w:szCs w:val="24"/>
              </w:rPr>
              <w:lastRenderedPageBreak/>
              <w:t>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2016-2020”</w:t>
            </w:r>
          </w:p>
        </w:tc>
        <w:tc>
          <w:tcPr>
            <w:tcW w:w="6060" w:type="dxa"/>
          </w:tcPr>
          <w:p w14:paraId="000004D0" w14:textId="797F9484"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lastRenderedPageBreak/>
              <w:t>Strategia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ională privind Drepturile Persoanelor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2021-2027 și Planul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 aferent sunt în curs de elaborare </w:t>
            </w:r>
            <w:r w:rsidR="00947AA8" w:rsidRPr="000D1EF3">
              <w:rPr>
                <w:rFonts w:asciiTheme="majorHAnsi" w:hAnsiTheme="majorHAnsi" w:cstheme="majorHAnsi"/>
                <w:sz w:val="24"/>
                <w:szCs w:val="24"/>
              </w:rPr>
              <w:t>și</w:t>
            </w:r>
            <w:r w:rsidRPr="000D1EF3">
              <w:rPr>
                <w:rFonts w:asciiTheme="majorHAnsi" w:hAnsiTheme="majorHAnsi" w:cstheme="majorHAnsi"/>
                <w:sz w:val="24"/>
                <w:szCs w:val="24"/>
              </w:rPr>
              <w:t xml:space="preserve"> se bazează pe Raportul de evaluare al Strategiei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„O societate fără bariere pentru persoanele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2016-2020” și pe diagnoza </w:t>
            </w:r>
            <w:r w:rsidR="00947AA8" w:rsidRPr="000D1EF3">
              <w:rPr>
                <w:rFonts w:asciiTheme="majorHAnsi" w:hAnsiTheme="majorHAnsi" w:cstheme="majorHAnsi"/>
                <w:sz w:val="24"/>
                <w:szCs w:val="24"/>
              </w:rPr>
              <w:t>situa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iei</w:t>
            </w:r>
            <w:r w:rsidRPr="000D1EF3">
              <w:rPr>
                <w:rFonts w:asciiTheme="majorHAnsi" w:hAnsiTheme="majorHAnsi" w:cstheme="majorHAnsi"/>
                <w:sz w:val="24"/>
                <w:szCs w:val="24"/>
              </w:rPr>
              <w:t xml:space="preserve"> persoanelor cu </w:t>
            </w:r>
            <w:r w:rsidR="00947AA8" w:rsidRPr="000D1EF3">
              <w:rPr>
                <w:rFonts w:asciiTheme="majorHAnsi" w:hAnsiTheme="majorHAnsi" w:cstheme="majorHAnsi"/>
                <w:sz w:val="24"/>
                <w:szCs w:val="24"/>
              </w:rPr>
              <w:t>dizabilită</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w:t>
            </w:r>
            <w:r w:rsidRPr="000D1EF3">
              <w:rPr>
                <w:rFonts w:asciiTheme="majorHAnsi" w:hAnsiTheme="majorHAnsi" w:cstheme="majorHAnsi"/>
                <w:sz w:val="24"/>
                <w:szCs w:val="24"/>
              </w:rPr>
              <w:t xml:space="preserve"> în România. </w:t>
            </w:r>
          </w:p>
          <w:p w14:paraId="000004D1" w14:textId="2E2BC921"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Până în prezent, au fost finalizate Raportul de evaluare a implementării Strategiei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”O societate fără bariere pentru persoanele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2016-2020”, setul  de  </w:t>
            </w:r>
            <w:r w:rsidRPr="000D1EF3">
              <w:rPr>
                <w:rFonts w:asciiTheme="majorHAnsi" w:hAnsiTheme="majorHAnsi" w:cstheme="majorHAnsi"/>
                <w:sz w:val="24"/>
                <w:szCs w:val="24"/>
              </w:rPr>
              <w:lastRenderedPageBreak/>
              <w:t xml:space="preserve">indicatori  cheie  privind  implementarea UNCRPD și Planul  preliminar  de  cercetare pentru colectarea datelor privind indicatorii cheie. </w:t>
            </w:r>
          </w:p>
          <w:p w14:paraId="000004D2" w14:textId="2683198E"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Începând din decembrie 2019, a fost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ionalizat Comitetul Interministerial pentru asigurarea implementării UNCRPD, care reunește reprezentan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ai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și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publice cu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în implementarea UNCRPD.</w:t>
            </w:r>
          </w:p>
        </w:tc>
      </w:tr>
      <w:tr w:rsidR="00C62A9B" w:rsidRPr="000D1EF3" w14:paraId="41CD43A7" w14:textId="77777777" w:rsidTr="00A83083">
        <w:tc>
          <w:tcPr>
            <w:tcW w:w="2122" w:type="dxa"/>
            <w:vMerge/>
          </w:tcPr>
          <w:p w14:paraId="000004D3" w14:textId="77777777" w:rsidR="00C62A9B" w:rsidRPr="000D1EF3" w:rsidRDefault="00C62A9B">
            <w:pPr>
              <w:spacing w:after="120"/>
              <w:rPr>
                <w:rFonts w:asciiTheme="majorHAnsi" w:hAnsiTheme="majorHAnsi" w:cstheme="majorHAnsi"/>
                <w:i/>
                <w:sz w:val="24"/>
                <w:szCs w:val="24"/>
              </w:rPr>
            </w:pPr>
          </w:p>
        </w:tc>
        <w:tc>
          <w:tcPr>
            <w:tcW w:w="850" w:type="dxa"/>
            <w:vMerge/>
          </w:tcPr>
          <w:p w14:paraId="000004D4" w14:textId="77777777" w:rsidR="00C62A9B" w:rsidRPr="000D1EF3" w:rsidRDefault="00C62A9B">
            <w:pPr>
              <w:spacing w:after="120"/>
              <w:rPr>
                <w:rFonts w:asciiTheme="majorHAnsi" w:hAnsiTheme="majorHAnsi" w:cstheme="majorHAnsi"/>
                <w:i/>
                <w:sz w:val="24"/>
                <w:szCs w:val="24"/>
              </w:rPr>
            </w:pPr>
          </w:p>
        </w:tc>
        <w:tc>
          <w:tcPr>
            <w:tcW w:w="3343" w:type="dxa"/>
          </w:tcPr>
          <w:p w14:paraId="000004D5" w14:textId="32169481"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2.Aranjamente care să asigure că politica de accesibilitate, </w:t>
            </w:r>
            <w:r w:rsidR="00947AA8" w:rsidRPr="000D1EF3">
              <w:rPr>
                <w:rFonts w:asciiTheme="majorHAnsi" w:hAnsiTheme="majorHAnsi" w:cstheme="majorHAnsi"/>
                <w:sz w:val="24"/>
                <w:szCs w:val="24"/>
              </w:rPr>
              <w:t>legisla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ia</w:t>
            </w:r>
            <w:r w:rsidRPr="000D1EF3">
              <w:rPr>
                <w:rFonts w:asciiTheme="majorHAnsi" w:hAnsiTheme="majorHAnsi" w:cstheme="majorHAnsi"/>
                <w:sz w:val="24"/>
                <w:szCs w:val="24"/>
              </w:rPr>
              <w:t xml:space="preserve"> </w:t>
            </w:r>
            <w:r w:rsidR="00947AA8" w:rsidRPr="000D1EF3">
              <w:rPr>
                <w:rFonts w:asciiTheme="majorHAnsi" w:hAnsiTheme="majorHAnsi" w:cstheme="majorHAnsi"/>
                <w:sz w:val="24"/>
                <w:szCs w:val="24"/>
              </w:rPr>
              <w:t>și</w:t>
            </w:r>
            <w:r w:rsidRPr="000D1EF3">
              <w:rPr>
                <w:rFonts w:asciiTheme="majorHAnsi" w:hAnsiTheme="majorHAnsi" w:cstheme="majorHAnsi"/>
                <w:sz w:val="24"/>
                <w:szCs w:val="24"/>
              </w:rPr>
              <w:t xml:space="preserve"> standardele sunt reflectate corespunzător în pregătirea </w:t>
            </w:r>
            <w:r w:rsidR="00947AA8" w:rsidRPr="000D1EF3">
              <w:rPr>
                <w:rFonts w:asciiTheme="majorHAnsi" w:hAnsiTheme="majorHAnsi" w:cstheme="majorHAnsi"/>
                <w:sz w:val="24"/>
                <w:szCs w:val="24"/>
              </w:rPr>
              <w:t>și</w:t>
            </w:r>
            <w:r w:rsidRPr="000D1EF3">
              <w:rPr>
                <w:rFonts w:asciiTheme="majorHAnsi" w:hAnsiTheme="majorHAnsi" w:cstheme="majorHAnsi"/>
                <w:sz w:val="24"/>
                <w:szCs w:val="24"/>
              </w:rPr>
              <w:t xml:space="preserve"> implementarea programelor</w:t>
            </w:r>
          </w:p>
          <w:p w14:paraId="000004D6" w14:textId="693C4602"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2a.Raportarea aranjamentelor către comitetul de monitorizare, cu privire la cazurile de neconformitate a </w:t>
            </w:r>
            <w:r w:rsidR="00947AA8" w:rsidRPr="000D1EF3">
              <w:rPr>
                <w:rFonts w:asciiTheme="majorHAnsi" w:hAnsiTheme="majorHAnsi" w:cstheme="majorHAnsi"/>
                <w:sz w:val="24"/>
                <w:szCs w:val="24"/>
              </w:rPr>
              <w:t>opera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iilor</w:t>
            </w:r>
            <w:r w:rsidRPr="000D1EF3">
              <w:rPr>
                <w:rFonts w:asciiTheme="majorHAnsi" w:hAnsiTheme="majorHAnsi" w:cstheme="majorHAnsi"/>
                <w:sz w:val="24"/>
                <w:szCs w:val="24"/>
              </w:rPr>
              <w:t xml:space="preserve"> sprijinite de Fonduri cu UNCRPD </w:t>
            </w:r>
            <w:r w:rsidR="00947AA8" w:rsidRPr="000D1EF3">
              <w:rPr>
                <w:rFonts w:asciiTheme="majorHAnsi" w:hAnsiTheme="majorHAnsi" w:cstheme="majorHAnsi"/>
                <w:sz w:val="24"/>
                <w:szCs w:val="24"/>
              </w:rPr>
              <w:t>și</w:t>
            </w:r>
            <w:r w:rsidRPr="000D1EF3">
              <w:rPr>
                <w:rFonts w:asciiTheme="majorHAnsi" w:hAnsiTheme="majorHAnsi" w:cstheme="majorHAnsi"/>
                <w:sz w:val="24"/>
                <w:szCs w:val="24"/>
              </w:rPr>
              <w:t xml:space="preserve"> </w:t>
            </w:r>
            <w:r w:rsidR="00947AA8" w:rsidRPr="000D1EF3">
              <w:rPr>
                <w:rFonts w:asciiTheme="majorHAnsi" w:hAnsiTheme="majorHAnsi" w:cstheme="majorHAnsi"/>
                <w:sz w:val="24"/>
                <w:szCs w:val="24"/>
              </w:rPr>
              <w:t>reclama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ii</w:t>
            </w:r>
            <w:r w:rsidRPr="000D1EF3">
              <w:rPr>
                <w:rFonts w:asciiTheme="majorHAnsi" w:hAnsiTheme="majorHAnsi" w:cstheme="majorHAnsi"/>
                <w:sz w:val="24"/>
                <w:szCs w:val="24"/>
              </w:rPr>
              <w:t xml:space="preserve"> privind UNCRPD transmise în acord cu aranjamentele făcute în conformitate cu Art.63(6) CPR</w:t>
            </w:r>
          </w:p>
        </w:tc>
        <w:tc>
          <w:tcPr>
            <w:tcW w:w="900" w:type="dxa"/>
          </w:tcPr>
          <w:p w14:paraId="000004D7"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w:t>
            </w:r>
          </w:p>
        </w:tc>
        <w:tc>
          <w:tcPr>
            <w:tcW w:w="1755" w:type="dxa"/>
          </w:tcPr>
          <w:p w14:paraId="000004D8"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448/2006</w:t>
            </w:r>
          </w:p>
          <w:p w14:paraId="000004D9"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Legea nr. 292/2011</w:t>
            </w:r>
          </w:p>
          <w:p w14:paraId="000004DA" w14:textId="77777777" w:rsidR="00C62A9B" w:rsidRPr="000D1EF3" w:rsidRDefault="00C62A9B">
            <w:pPr>
              <w:rPr>
                <w:rFonts w:asciiTheme="majorHAnsi" w:hAnsiTheme="majorHAnsi" w:cstheme="majorHAnsi"/>
                <w:sz w:val="24"/>
                <w:szCs w:val="24"/>
              </w:rPr>
            </w:pPr>
          </w:p>
        </w:tc>
        <w:tc>
          <w:tcPr>
            <w:tcW w:w="6060" w:type="dxa"/>
          </w:tcPr>
          <w:p w14:paraId="000004DB"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 xml:space="preserve">A fost elaborat și lansat în dezbatere publică Ghidul privind reflectarea UNCRPD în pregătirea și implementarea PO 2021-2027.  </w:t>
            </w:r>
          </w:p>
          <w:p w14:paraId="000004DC" w14:textId="71B1E1D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Ghidul privind reflectarea UNCRPD în pregătirea și implementarea PO 2021-2027 este în curs de elaborare. Documentul prezintă cadrul legal și institu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aplicabil, principalele dispozi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ale UNCRPD de care se va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 cont atât în etapa de programare, cât și în cea de implementare, precum și mecanismele de asigurare și verificare a respectării 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favorizante.</w:t>
            </w:r>
          </w:p>
          <w:p w14:paraId="000004DD" w14:textId="01FDCF83" w:rsidR="00C62A9B" w:rsidRPr="000D1EF3" w:rsidRDefault="00D11CD4" w:rsidP="00947AA8">
            <w:pPr>
              <w:jc w:val="both"/>
              <w:rPr>
                <w:rFonts w:asciiTheme="majorHAnsi" w:hAnsiTheme="majorHAnsi" w:cstheme="majorHAnsi"/>
                <w:sz w:val="24"/>
                <w:szCs w:val="24"/>
              </w:rPr>
            </w:pPr>
            <w:r w:rsidRPr="000D1EF3">
              <w:rPr>
                <w:rFonts w:asciiTheme="majorHAnsi" w:hAnsiTheme="majorHAnsi" w:cstheme="majorHAnsi"/>
                <w:sz w:val="24"/>
                <w:szCs w:val="24"/>
              </w:rPr>
              <w:t>Fondurile UE nu vor sprijini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care să contribuie la vreo formă de segregare pentru persoanele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urmărind, la nivelul fiecărui obiectiv specific, promovarea de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iuni privind accesibilitatea, adaptarea rezonabilă, designul universal, cercetarea și utilizarea de noi tehnologii, inclusiv tehnologii și dispozitive </w:t>
            </w:r>
            <w:proofErr w:type="spellStart"/>
            <w:r w:rsidRPr="000D1EF3">
              <w:rPr>
                <w:rFonts w:asciiTheme="majorHAnsi" w:hAnsiTheme="majorHAnsi" w:cstheme="majorHAnsi"/>
                <w:sz w:val="24"/>
                <w:szCs w:val="24"/>
              </w:rPr>
              <w:t>asistive</w:t>
            </w:r>
            <w:proofErr w:type="spellEnd"/>
            <w:r w:rsidRPr="000D1EF3">
              <w:rPr>
                <w:rFonts w:asciiTheme="majorHAnsi" w:hAnsiTheme="majorHAnsi" w:cstheme="majorHAnsi"/>
                <w:sz w:val="24"/>
                <w:szCs w:val="24"/>
              </w:rPr>
              <w:t xml:space="preserve"> și tehnologii de acces destinate persoanelor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Totodată, se va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 cont de principiul parteneriatului cu organismele responsabile de promovarea drepturilor persoanelor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Anexele la Ghid cuprind </w:t>
            </w:r>
            <w:proofErr w:type="spellStart"/>
            <w:r w:rsidRPr="000D1EF3">
              <w:rPr>
                <w:rFonts w:asciiTheme="majorHAnsi" w:hAnsiTheme="majorHAnsi" w:cstheme="majorHAnsi"/>
                <w:sz w:val="24"/>
                <w:szCs w:val="24"/>
              </w:rPr>
              <w:t>screeningul</w:t>
            </w:r>
            <w:proofErr w:type="spellEnd"/>
            <w:r w:rsidRPr="000D1EF3">
              <w:rPr>
                <w:rFonts w:asciiTheme="majorHAnsi" w:hAnsiTheme="majorHAnsi" w:cstheme="majorHAnsi"/>
                <w:sz w:val="24"/>
                <w:szCs w:val="24"/>
              </w:rPr>
              <w:t xml:space="preserve"> legislativ pentru toate obiectivele specifice din cadrul celor 5 obiective de politică UE. </w:t>
            </w:r>
          </w:p>
          <w:p w14:paraId="000004DE" w14:textId="2ABA1B4F" w:rsidR="00C62A9B" w:rsidRPr="000D1EF3" w:rsidRDefault="00D11CD4" w:rsidP="00947AA8">
            <w:pPr>
              <w:jc w:val="both"/>
              <w:rPr>
                <w:rFonts w:asciiTheme="majorHAnsi" w:hAnsiTheme="majorHAnsi" w:cstheme="majorHAnsi"/>
                <w:sz w:val="24"/>
                <w:szCs w:val="24"/>
              </w:rPr>
            </w:pPr>
            <w:r w:rsidRPr="000D1EF3">
              <w:rPr>
                <w:rFonts w:asciiTheme="majorHAnsi" w:hAnsiTheme="majorHAnsi" w:cstheme="majorHAnsi"/>
                <w:sz w:val="24"/>
                <w:szCs w:val="24"/>
              </w:rPr>
              <w:t xml:space="preserve">În ceea ce privește raportarea către Comitetul de monitorizare al programului a cazurilor de neconformitate a </w:t>
            </w:r>
            <w:r w:rsidR="00947AA8" w:rsidRPr="000D1EF3">
              <w:rPr>
                <w:rFonts w:asciiTheme="majorHAnsi" w:hAnsiTheme="majorHAnsi" w:cstheme="majorHAnsi"/>
                <w:sz w:val="24"/>
                <w:szCs w:val="24"/>
              </w:rPr>
              <w:lastRenderedPageBreak/>
              <w:t>opera</w:t>
            </w:r>
            <w:r w:rsidR="00812FFF" w:rsidRPr="000D1EF3">
              <w:rPr>
                <w:rFonts w:asciiTheme="majorHAnsi" w:hAnsiTheme="majorHAnsi" w:cstheme="majorHAnsi"/>
                <w:sz w:val="24"/>
                <w:szCs w:val="24"/>
              </w:rPr>
              <w:t>ț</w:t>
            </w:r>
            <w:r w:rsidR="00947AA8" w:rsidRPr="000D1EF3">
              <w:rPr>
                <w:rFonts w:asciiTheme="majorHAnsi" w:hAnsiTheme="majorHAnsi" w:cstheme="majorHAnsi"/>
                <w:sz w:val="24"/>
                <w:szCs w:val="24"/>
              </w:rPr>
              <w:t>iunilor</w:t>
            </w:r>
            <w:r w:rsidRPr="000D1EF3">
              <w:rPr>
                <w:rFonts w:asciiTheme="majorHAnsi" w:hAnsiTheme="majorHAnsi" w:cstheme="majorHAnsi"/>
                <w:sz w:val="24"/>
                <w:szCs w:val="24"/>
              </w:rPr>
              <w:t xml:space="preserve"> sprijinite de Fonduri, aceasta se va realiza în manieră similară celei din perioada de programare 2014-2020, cu participarea în cadrul acestui comitet a reprezentan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management, ANDPDCA, DCEI-Punctul de contact pentru implementarea Conven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privind drepturile persoanelor cu dizabilită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și ai altor structuri relevante din punct de vedere al implementării și aplicării UNCRPD.</w:t>
            </w:r>
          </w:p>
        </w:tc>
      </w:tr>
    </w:tbl>
    <w:p w14:paraId="000004DF" w14:textId="77777777" w:rsidR="00C62A9B" w:rsidRPr="000D1EF3" w:rsidRDefault="00C62A9B">
      <w:pPr>
        <w:spacing w:after="120" w:line="240" w:lineRule="auto"/>
        <w:ind w:left="720"/>
        <w:jc w:val="both"/>
        <w:rPr>
          <w:rFonts w:asciiTheme="majorHAnsi" w:hAnsiTheme="majorHAnsi" w:cstheme="majorHAnsi"/>
          <w:b/>
          <w:sz w:val="24"/>
          <w:szCs w:val="24"/>
        </w:rPr>
        <w:sectPr w:rsidR="00C62A9B" w:rsidRPr="000D1EF3" w:rsidSect="00812FFF">
          <w:pgSz w:w="16840" w:h="11907" w:code="9"/>
          <w:pgMar w:top="1134" w:right="567" w:bottom="1134" w:left="567" w:header="567" w:footer="567" w:gutter="0"/>
          <w:cols w:space="720"/>
        </w:sectPr>
      </w:pPr>
    </w:p>
    <w:p w14:paraId="000004E1" w14:textId="2F28DDC7" w:rsidR="00C62A9B" w:rsidRPr="000D1EF3" w:rsidRDefault="00D11CD4" w:rsidP="00E43440">
      <w:pPr>
        <w:pStyle w:val="Heading1"/>
      </w:pPr>
      <w:bookmarkStart w:id="38" w:name="_Toc78795684"/>
      <w:r w:rsidRPr="000D1EF3">
        <w:lastRenderedPageBreak/>
        <w:t>5. Autorită</w:t>
      </w:r>
      <w:r w:rsidR="00812FFF" w:rsidRPr="000D1EF3">
        <w:t>ț</w:t>
      </w:r>
      <w:r w:rsidRPr="000D1EF3">
        <w:t>i responsabile de program</w:t>
      </w:r>
      <w:bookmarkEnd w:id="38"/>
      <w:r w:rsidRPr="000D1EF3">
        <w:t xml:space="preserve"> </w:t>
      </w:r>
    </w:p>
    <w:p w14:paraId="000004E2" w14:textId="4E24A03B"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 xml:space="preserve">Trimitere: articolul 22 alineatul (3) litera (k) și articolele 71 și 84 din RDC </w:t>
      </w:r>
    </w:p>
    <w:p w14:paraId="000004E3" w14:textId="1FDE5246" w:rsidR="00C62A9B" w:rsidRPr="000D1EF3" w:rsidRDefault="00D11CD4">
      <w:pPr>
        <w:spacing w:after="120" w:line="240" w:lineRule="auto"/>
        <w:rPr>
          <w:rFonts w:asciiTheme="majorHAnsi" w:hAnsiTheme="majorHAnsi" w:cstheme="majorHAnsi"/>
          <w:iCs/>
          <w:sz w:val="24"/>
          <w:szCs w:val="24"/>
        </w:rPr>
      </w:pPr>
      <w:r w:rsidRPr="000D1EF3">
        <w:rPr>
          <w:rFonts w:asciiTheme="majorHAnsi" w:hAnsiTheme="majorHAnsi" w:cstheme="majorHAnsi"/>
          <w:iCs/>
          <w:sz w:val="24"/>
          <w:szCs w:val="24"/>
        </w:rPr>
        <w:t>Tabelul 10: Autorită</w:t>
      </w:r>
      <w:r w:rsidR="00812FFF" w:rsidRPr="000D1EF3">
        <w:rPr>
          <w:rFonts w:asciiTheme="majorHAnsi" w:hAnsiTheme="majorHAnsi" w:cstheme="majorHAnsi"/>
          <w:iCs/>
          <w:sz w:val="24"/>
          <w:szCs w:val="24"/>
        </w:rPr>
        <w:t>ț</w:t>
      </w:r>
      <w:r w:rsidRPr="000D1EF3">
        <w:rPr>
          <w:rFonts w:asciiTheme="majorHAnsi" w:hAnsiTheme="majorHAnsi" w:cstheme="majorHAnsi"/>
          <w:iCs/>
          <w:sz w:val="24"/>
          <w:szCs w:val="24"/>
        </w:rPr>
        <w:t>i responsabile de program</w:t>
      </w:r>
    </w:p>
    <w:tbl>
      <w:tblPr>
        <w:tblStyle w:val="af"/>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3038"/>
        <w:gridCol w:w="1885"/>
        <w:gridCol w:w="2454"/>
      </w:tblGrid>
      <w:tr w:rsidR="00C62A9B" w:rsidRPr="000D1EF3" w14:paraId="7AA9310F" w14:textId="77777777" w:rsidTr="00A83083">
        <w:trPr>
          <w:trHeight w:val="1307"/>
        </w:trPr>
        <w:tc>
          <w:tcPr>
            <w:tcW w:w="2266" w:type="dxa"/>
          </w:tcPr>
          <w:p w14:paraId="000004E4" w14:textId="77777777" w:rsidR="00C62A9B" w:rsidRPr="000D1EF3" w:rsidRDefault="00C62A9B">
            <w:pPr>
              <w:spacing w:after="120"/>
              <w:rPr>
                <w:rFonts w:asciiTheme="majorHAnsi" w:hAnsiTheme="majorHAnsi" w:cstheme="majorHAnsi"/>
                <w:sz w:val="24"/>
                <w:szCs w:val="24"/>
              </w:rPr>
            </w:pPr>
          </w:p>
        </w:tc>
        <w:tc>
          <w:tcPr>
            <w:tcW w:w="3038" w:type="dxa"/>
          </w:tcPr>
          <w:p w14:paraId="000004E5" w14:textId="3CA3079F" w:rsidR="00C62A9B" w:rsidRPr="000D1EF3" w:rsidRDefault="00D11CD4">
            <w:pPr>
              <w:pBdr>
                <w:top w:val="nil"/>
                <w:left w:val="nil"/>
                <w:bottom w:val="nil"/>
                <w:right w:val="nil"/>
                <w:between w:val="nil"/>
              </w:pBdr>
              <w:spacing w:after="120"/>
              <w:jc w:val="center"/>
              <w:rPr>
                <w:rFonts w:asciiTheme="majorHAnsi" w:hAnsiTheme="majorHAnsi" w:cstheme="majorHAnsi"/>
                <w:b/>
                <w:sz w:val="24"/>
                <w:szCs w:val="24"/>
              </w:rPr>
            </w:pPr>
            <w:r w:rsidRPr="000D1EF3">
              <w:rPr>
                <w:rFonts w:asciiTheme="majorHAnsi" w:hAnsiTheme="majorHAnsi" w:cstheme="majorHAnsi"/>
                <w:b/>
                <w:sz w:val="24"/>
                <w:szCs w:val="24"/>
              </w:rPr>
              <w:t>Denumirea institu</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iei </w:t>
            </w:r>
            <w:r w:rsidRPr="000D1EF3">
              <w:rPr>
                <w:rFonts w:asciiTheme="majorHAnsi" w:hAnsiTheme="majorHAnsi" w:cstheme="majorHAnsi"/>
                <w:sz w:val="24"/>
                <w:szCs w:val="24"/>
              </w:rPr>
              <w:t>[500]</w:t>
            </w:r>
          </w:p>
        </w:tc>
        <w:tc>
          <w:tcPr>
            <w:tcW w:w="1885" w:type="dxa"/>
          </w:tcPr>
          <w:p w14:paraId="000004E6" w14:textId="1B13B4D3" w:rsidR="00C62A9B" w:rsidRPr="000D1EF3" w:rsidRDefault="00D11CD4">
            <w:pPr>
              <w:pBdr>
                <w:top w:val="nil"/>
                <w:left w:val="nil"/>
                <w:bottom w:val="nil"/>
                <w:right w:val="nil"/>
                <w:between w:val="nil"/>
              </w:pBdr>
              <w:spacing w:after="120"/>
              <w:jc w:val="center"/>
              <w:rPr>
                <w:rFonts w:asciiTheme="majorHAnsi" w:hAnsiTheme="majorHAnsi" w:cstheme="majorHAnsi"/>
                <w:b/>
                <w:sz w:val="24"/>
                <w:szCs w:val="24"/>
              </w:rPr>
            </w:pPr>
            <w:r w:rsidRPr="000D1EF3">
              <w:rPr>
                <w:rFonts w:asciiTheme="majorHAnsi" w:hAnsiTheme="majorHAnsi" w:cstheme="majorHAnsi"/>
                <w:b/>
                <w:sz w:val="24"/>
                <w:szCs w:val="24"/>
              </w:rPr>
              <w:t>Numele persoanei de contact și func</w:t>
            </w:r>
            <w:r w:rsidR="00812FFF" w:rsidRPr="000D1EF3">
              <w:rPr>
                <w:rFonts w:asciiTheme="majorHAnsi" w:hAnsiTheme="majorHAnsi" w:cstheme="majorHAnsi"/>
                <w:b/>
                <w:sz w:val="24"/>
                <w:szCs w:val="24"/>
              </w:rPr>
              <w:t>ț</w:t>
            </w:r>
            <w:r w:rsidRPr="000D1EF3">
              <w:rPr>
                <w:rFonts w:asciiTheme="majorHAnsi" w:hAnsiTheme="majorHAnsi" w:cstheme="majorHAnsi"/>
                <w:b/>
                <w:sz w:val="24"/>
                <w:szCs w:val="24"/>
              </w:rPr>
              <w:t xml:space="preserve">ia </w:t>
            </w:r>
            <w:r w:rsidRPr="000D1EF3">
              <w:rPr>
                <w:rFonts w:asciiTheme="majorHAnsi" w:hAnsiTheme="majorHAnsi" w:cstheme="majorHAnsi"/>
                <w:sz w:val="24"/>
                <w:szCs w:val="24"/>
              </w:rPr>
              <w:t>[200]</w:t>
            </w:r>
          </w:p>
        </w:tc>
        <w:tc>
          <w:tcPr>
            <w:tcW w:w="2454" w:type="dxa"/>
          </w:tcPr>
          <w:p w14:paraId="000004E7" w14:textId="77777777" w:rsidR="00C62A9B" w:rsidRPr="000D1EF3" w:rsidRDefault="00D11CD4">
            <w:pPr>
              <w:pBdr>
                <w:top w:val="nil"/>
                <w:left w:val="nil"/>
                <w:bottom w:val="nil"/>
                <w:right w:val="nil"/>
                <w:between w:val="nil"/>
              </w:pBdr>
              <w:spacing w:after="120"/>
              <w:jc w:val="center"/>
              <w:rPr>
                <w:rFonts w:asciiTheme="majorHAnsi" w:hAnsiTheme="majorHAnsi" w:cstheme="majorHAnsi"/>
                <w:b/>
                <w:sz w:val="24"/>
                <w:szCs w:val="24"/>
              </w:rPr>
            </w:pPr>
            <w:r w:rsidRPr="000D1EF3">
              <w:rPr>
                <w:rFonts w:asciiTheme="majorHAnsi" w:hAnsiTheme="majorHAnsi" w:cstheme="majorHAnsi"/>
                <w:b/>
                <w:sz w:val="24"/>
                <w:szCs w:val="24"/>
              </w:rPr>
              <w:t>E-mail[200]</w:t>
            </w:r>
          </w:p>
        </w:tc>
      </w:tr>
      <w:tr w:rsidR="00C62A9B" w:rsidRPr="000D1EF3" w14:paraId="47CC1305" w14:textId="77777777" w:rsidTr="00A83083">
        <w:trPr>
          <w:trHeight w:val="1185"/>
        </w:trPr>
        <w:tc>
          <w:tcPr>
            <w:tcW w:w="2266" w:type="dxa"/>
            <w:tcBorders>
              <w:top w:val="single" w:sz="4" w:space="0" w:color="000000"/>
              <w:left w:val="single" w:sz="4" w:space="0" w:color="000000"/>
              <w:bottom w:val="single" w:sz="4" w:space="0" w:color="000000"/>
              <w:right w:val="single" w:sz="4" w:space="0" w:color="000000"/>
            </w:tcBorders>
            <w:vAlign w:val="center"/>
          </w:tcPr>
          <w:p w14:paraId="000004E8"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 </w:t>
            </w:r>
          </w:p>
          <w:p w14:paraId="000004E9"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Autoritatea de management </w:t>
            </w:r>
          </w:p>
        </w:tc>
        <w:tc>
          <w:tcPr>
            <w:tcW w:w="3038" w:type="dxa"/>
            <w:tcBorders>
              <w:top w:val="single" w:sz="4" w:space="0" w:color="000000"/>
              <w:left w:val="single" w:sz="4" w:space="0" w:color="000000"/>
              <w:bottom w:val="single" w:sz="4" w:space="0" w:color="000000"/>
              <w:right w:val="single" w:sz="4" w:space="0" w:color="000000"/>
            </w:tcBorders>
            <w:vAlign w:val="center"/>
          </w:tcPr>
          <w:p w14:paraId="000004EA" w14:textId="2CA1F466"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Direc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ia Fonduri Externe Nerambursabile – Ministerul Afacerilor Interne </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4EB" w14:textId="6C15AE12" w:rsidR="00C62A9B" w:rsidRPr="000D1EF3" w:rsidRDefault="00C62A9B">
            <w:pPr>
              <w:ind w:right="57"/>
              <w:rPr>
                <w:rFonts w:asciiTheme="majorHAnsi" w:hAnsiTheme="majorHAnsi" w:cstheme="majorHAnsi"/>
                <w:sz w:val="24"/>
                <w:szCs w:val="24"/>
              </w:rPr>
            </w:pPr>
          </w:p>
        </w:tc>
        <w:tc>
          <w:tcPr>
            <w:tcW w:w="2454" w:type="dxa"/>
            <w:tcBorders>
              <w:top w:val="single" w:sz="4" w:space="0" w:color="000000"/>
              <w:left w:val="single" w:sz="4" w:space="0" w:color="000000"/>
              <w:bottom w:val="single" w:sz="4" w:space="0" w:color="000000"/>
              <w:right w:val="single" w:sz="4" w:space="0" w:color="000000"/>
            </w:tcBorders>
            <w:vAlign w:val="center"/>
          </w:tcPr>
          <w:p w14:paraId="000004EC" w14:textId="04CA9DD5" w:rsidR="00C62A9B" w:rsidRPr="000D1EF3" w:rsidRDefault="00C62A9B">
            <w:pPr>
              <w:ind w:left="57" w:right="57"/>
              <w:rPr>
                <w:rFonts w:asciiTheme="majorHAnsi" w:hAnsiTheme="majorHAnsi" w:cstheme="majorHAnsi"/>
                <w:sz w:val="24"/>
                <w:szCs w:val="24"/>
              </w:rPr>
            </w:pPr>
          </w:p>
        </w:tc>
      </w:tr>
      <w:tr w:rsidR="00C62A9B" w:rsidRPr="000D1EF3" w14:paraId="7B028958" w14:textId="77777777" w:rsidTr="00A83083">
        <w:trPr>
          <w:trHeight w:val="896"/>
        </w:trPr>
        <w:tc>
          <w:tcPr>
            <w:tcW w:w="2266" w:type="dxa"/>
            <w:tcBorders>
              <w:top w:val="single" w:sz="4" w:space="0" w:color="000000"/>
              <w:left w:val="single" w:sz="4" w:space="0" w:color="000000"/>
              <w:bottom w:val="single" w:sz="4" w:space="0" w:color="000000"/>
              <w:right w:val="single" w:sz="4" w:space="0" w:color="000000"/>
            </w:tcBorders>
            <w:vAlign w:val="center"/>
          </w:tcPr>
          <w:p w14:paraId="000004ED"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Autoritatea de audit </w:t>
            </w:r>
          </w:p>
        </w:tc>
        <w:tc>
          <w:tcPr>
            <w:tcW w:w="3038" w:type="dxa"/>
            <w:tcBorders>
              <w:top w:val="single" w:sz="4" w:space="0" w:color="000000"/>
              <w:left w:val="single" w:sz="4" w:space="0" w:color="000000"/>
              <w:bottom w:val="single" w:sz="4" w:space="0" w:color="000000"/>
              <w:right w:val="single" w:sz="4" w:space="0" w:color="000000"/>
            </w:tcBorders>
            <w:vAlign w:val="center"/>
          </w:tcPr>
          <w:p w14:paraId="000004EE"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Autoritatea de Audit – Curtea de Conturi a României </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4EF"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000004F0"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C62A9B" w:rsidRPr="000D1EF3" w14:paraId="2B5BEFB4" w14:textId="77777777" w:rsidTr="00A83083">
        <w:trPr>
          <w:trHeight w:val="361"/>
        </w:trPr>
        <w:tc>
          <w:tcPr>
            <w:tcW w:w="2266" w:type="dxa"/>
            <w:tcBorders>
              <w:top w:val="single" w:sz="4" w:space="0" w:color="000000"/>
              <w:left w:val="single" w:sz="4" w:space="0" w:color="000000"/>
              <w:bottom w:val="single" w:sz="4" w:space="0" w:color="000000"/>
              <w:right w:val="single" w:sz="4" w:space="0" w:color="000000"/>
            </w:tcBorders>
            <w:vAlign w:val="center"/>
          </w:tcPr>
          <w:p w14:paraId="000004F1" w14:textId="463F3936"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Organismul care primește plă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din partea Comisiei </w:t>
            </w:r>
          </w:p>
        </w:tc>
        <w:tc>
          <w:tcPr>
            <w:tcW w:w="3038" w:type="dxa"/>
            <w:tcBorders>
              <w:top w:val="single" w:sz="4" w:space="0" w:color="000000"/>
              <w:left w:val="single" w:sz="4" w:space="0" w:color="000000"/>
              <w:bottom w:val="single" w:sz="4" w:space="0" w:color="000000"/>
              <w:right w:val="single" w:sz="4" w:space="0" w:color="000000"/>
            </w:tcBorders>
            <w:vAlign w:val="center"/>
          </w:tcPr>
          <w:p w14:paraId="000004F2" w14:textId="6C1E46CF"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Direc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Generală Financiară – Ministerul Afacerilor Interne</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4F3"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 </w:t>
            </w:r>
          </w:p>
        </w:tc>
        <w:tc>
          <w:tcPr>
            <w:tcW w:w="2454" w:type="dxa"/>
            <w:tcBorders>
              <w:top w:val="single" w:sz="4" w:space="0" w:color="000000"/>
              <w:left w:val="single" w:sz="4" w:space="0" w:color="000000"/>
              <w:bottom w:val="single" w:sz="4" w:space="0" w:color="000000"/>
              <w:right w:val="single" w:sz="4" w:space="0" w:color="000000"/>
            </w:tcBorders>
            <w:vAlign w:val="center"/>
          </w:tcPr>
          <w:p w14:paraId="000004F4"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 </w:t>
            </w:r>
          </w:p>
        </w:tc>
      </w:tr>
      <w:tr w:rsidR="00C62A9B" w:rsidRPr="000D1EF3" w14:paraId="01079440" w14:textId="77777777" w:rsidTr="00A83083">
        <w:trPr>
          <w:trHeight w:val="319"/>
        </w:trPr>
        <w:tc>
          <w:tcPr>
            <w:tcW w:w="2266" w:type="dxa"/>
            <w:tcBorders>
              <w:top w:val="single" w:sz="4" w:space="0" w:color="000000"/>
              <w:left w:val="single" w:sz="4" w:space="0" w:color="000000"/>
              <w:bottom w:val="single" w:sz="4" w:space="0" w:color="000000"/>
              <w:right w:val="single" w:sz="4" w:space="0" w:color="000000"/>
            </w:tcBorders>
            <w:vAlign w:val="center"/>
          </w:tcPr>
          <w:p w14:paraId="000004F5" w14:textId="761DCF33"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Func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contabilă</w:t>
            </w:r>
          </w:p>
        </w:tc>
        <w:tc>
          <w:tcPr>
            <w:tcW w:w="3038" w:type="dxa"/>
            <w:tcBorders>
              <w:top w:val="single" w:sz="4" w:space="0" w:color="000000"/>
              <w:left w:val="single" w:sz="4" w:space="0" w:color="000000"/>
              <w:bottom w:val="single" w:sz="4" w:space="0" w:color="000000"/>
              <w:right w:val="single" w:sz="4" w:space="0" w:color="000000"/>
            </w:tcBorders>
            <w:vAlign w:val="center"/>
          </w:tcPr>
          <w:p w14:paraId="000004F6" w14:textId="3094659E"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Direc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Generală Financiară – Ministerul Afacerilor Interne</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4F7" w14:textId="77777777" w:rsidR="00C62A9B" w:rsidRPr="000D1EF3" w:rsidRDefault="00C62A9B">
            <w:pPr>
              <w:ind w:left="57" w:right="57"/>
              <w:rPr>
                <w:rFonts w:asciiTheme="majorHAnsi" w:hAnsiTheme="majorHAnsi" w:cstheme="majorHAnsi"/>
                <w:sz w:val="24"/>
                <w:szCs w:val="24"/>
              </w:rPr>
            </w:pPr>
          </w:p>
        </w:tc>
        <w:tc>
          <w:tcPr>
            <w:tcW w:w="2454" w:type="dxa"/>
            <w:tcBorders>
              <w:top w:val="single" w:sz="4" w:space="0" w:color="000000"/>
              <w:left w:val="single" w:sz="4" w:space="0" w:color="000000"/>
              <w:bottom w:val="single" w:sz="4" w:space="0" w:color="000000"/>
              <w:right w:val="single" w:sz="4" w:space="0" w:color="000000"/>
            </w:tcBorders>
            <w:vAlign w:val="center"/>
          </w:tcPr>
          <w:p w14:paraId="000004F8" w14:textId="77777777" w:rsidR="00C62A9B" w:rsidRPr="000D1EF3" w:rsidRDefault="00C62A9B">
            <w:pPr>
              <w:ind w:left="57" w:right="57"/>
              <w:rPr>
                <w:rFonts w:asciiTheme="majorHAnsi" w:hAnsiTheme="majorHAnsi" w:cstheme="majorHAnsi"/>
                <w:sz w:val="24"/>
                <w:szCs w:val="24"/>
              </w:rPr>
            </w:pPr>
          </w:p>
        </w:tc>
      </w:tr>
      <w:tr w:rsidR="00C62A9B" w:rsidRPr="000D1EF3" w14:paraId="1ACF1625" w14:textId="77777777" w:rsidTr="00A83083">
        <w:trPr>
          <w:trHeight w:val="986"/>
        </w:trPr>
        <w:tc>
          <w:tcPr>
            <w:tcW w:w="2266" w:type="dxa"/>
            <w:tcBorders>
              <w:top w:val="single" w:sz="4" w:space="0" w:color="000000"/>
              <w:left w:val="single" w:sz="4" w:space="0" w:color="000000"/>
              <w:bottom w:val="single" w:sz="4" w:space="0" w:color="000000"/>
              <w:right w:val="single" w:sz="4" w:space="0" w:color="000000"/>
            </w:tcBorders>
            <w:vAlign w:val="center"/>
          </w:tcPr>
          <w:p w14:paraId="000004F9" w14:textId="77777777"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 xml:space="preserve">Organism intermediar </w:t>
            </w:r>
          </w:p>
        </w:tc>
        <w:tc>
          <w:tcPr>
            <w:tcW w:w="3038" w:type="dxa"/>
            <w:tcBorders>
              <w:top w:val="single" w:sz="4" w:space="0" w:color="000000"/>
              <w:left w:val="single" w:sz="4" w:space="0" w:color="000000"/>
              <w:bottom w:val="single" w:sz="4" w:space="0" w:color="000000"/>
              <w:right w:val="single" w:sz="4" w:space="0" w:color="000000"/>
            </w:tcBorders>
            <w:vAlign w:val="center"/>
          </w:tcPr>
          <w:p w14:paraId="000004FA" w14:textId="67F98F04"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Direc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Generală Mecanisme și Instrumente Financiare Nerambursabil – Ministerul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iilor și </w:t>
            </w:r>
            <w:r w:rsidR="009066F9">
              <w:rPr>
                <w:rFonts w:asciiTheme="majorHAnsi" w:hAnsiTheme="majorHAnsi" w:cstheme="majorHAnsi"/>
                <w:sz w:val="24"/>
                <w:szCs w:val="24"/>
              </w:rPr>
              <w:t>P</w:t>
            </w:r>
            <w:r w:rsidRPr="000D1EF3">
              <w:rPr>
                <w:rFonts w:asciiTheme="majorHAnsi" w:hAnsiTheme="majorHAnsi" w:cstheme="majorHAnsi"/>
                <w:sz w:val="24"/>
                <w:szCs w:val="24"/>
              </w:rPr>
              <w:t>roiectelor Europene</w:t>
            </w:r>
          </w:p>
        </w:tc>
        <w:tc>
          <w:tcPr>
            <w:tcW w:w="1885" w:type="dxa"/>
            <w:tcBorders>
              <w:top w:val="single" w:sz="4" w:space="0" w:color="000000"/>
              <w:left w:val="single" w:sz="4" w:space="0" w:color="000000"/>
              <w:bottom w:val="single" w:sz="4" w:space="0" w:color="000000"/>
              <w:right w:val="single" w:sz="4" w:space="0" w:color="000000"/>
            </w:tcBorders>
            <w:vAlign w:val="center"/>
          </w:tcPr>
          <w:p w14:paraId="000004FB" w14:textId="77777777" w:rsidR="00C62A9B" w:rsidRPr="000D1EF3" w:rsidRDefault="00C62A9B">
            <w:pPr>
              <w:ind w:left="57" w:right="57"/>
              <w:rPr>
                <w:rFonts w:asciiTheme="majorHAnsi" w:hAnsiTheme="majorHAnsi" w:cstheme="majorHAnsi"/>
                <w:sz w:val="24"/>
                <w:szCs w:val="24"/>
              </w:rPr>
            </w:pPr>
          </w:p>
        </w:tc>
        <w:tc>
          <w:tcPr>
            <w:tcW w:w="2454" w:type="dxa"/>
            <w:tcBorders>
              <w:top w:val="single" w:sz="4" w:space="0" w:color="000000"/>
              <w:left w:val="single" w:sz="4" w:space="0" w:color="000000"/>
              <w:bottom w:val="single" w:sz="4" w:space="0" w:color="000000"/>
              <w:right w:val="single" w:sz="4" w:space="0" w:color="000000"/>
            </w:tcBorders>
            <w:vAlign w:val="center"/>
          </w:tcPr>
          <w:p w14:paraId="000004FC" w14:textId="77777777" w:rsidR="00C62A9B" w:rsidRPr="000D1EF3" w:rsidRDefault="00C62A9B">
            <w:pPr>
              <w:ind w:left="57" w:right="57"/>
              <w:rPr>
                <w:rFonts w:asciiTheme="majorHAnsi" w:hAnsiTheme="majorHAnsi" w:cstheme="majorHAnsi"/>
                <w:sz w:val="24"/>
                <w:szCs w:val="24"/>
              </w:rPr>
            </w:pPr>
          </w:p>
        </w:tc>
      </w:tr>
    </w:tbl>
    <w:p w14:paraId="000004FD" w14:textId="77777777" w:rsidR="00C62A9B" w:rsidRPr="000D1EF3" w:rsidRDefault="00C62A9B">
      <w:pPr>
        <w:spacing w:after="120" w:line="240" w:lineRule="auto"/>
        <w:rPr>
          <w:rFonts w:asciiTheme="majorHAnsi" w:hAnsiTheme="majorHAnsi" w:cstheme="majorHAnsi"/>
          <w:sz w:val="24"/>
          <w:szCs w:val="24"/>
        </w:rPr>
      </w:pPr>
    </w:p>
    <w:p w14:paraId="000004FE" w14:textId="77777777" w:rsidR="00C62A9B" w:rsidRPr="000D1EF3" w:rsidRDefault="00D11CD4" w:rsidP="00E43440">
      <w:pPr>
        <w:pStyle w:val="Heading1"/>
      </w:pPr>
      <w:bookmarkStart w:id="39" w:name="_Toc78795685"/>
      <w:r w:rsidRPr="000D1EF3">
        <w:t>6. Parteneriat</w:t>
      </w:r>
      <w:bookmarkEnd w:id="39"/>
      <w:r w:rsidRPr="000D1EF3">
        <w:t xml:space="preserve"> </w:t>
      </w:r>
    </w:p>
    <w:p w14:paraId="000004FF"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(3) litera (h) din RDC</w:t>
      </w:r>
    </w:p>
    <w:tbl>
      <w:tblPr>
        <w:tblStyle w:val="a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C62A9B" w:rsidRPr="000D1EF3" w14:paraId="15915A71" w14:textId="77777777">
        <w:tc>
          <w:tcPr>
            <w:tcW w:w="9288" w:type="dxa"/>
          </w:tcPr>
          <w:p w14:paraId="00000500" w14:textId="33004057"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Parteneriatul în procesul de programare și management al fondurilor europene reprezintă o precondi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 pentru elaborarea unor documente de programare solide și mature, care să asigure resursele pentru priorită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stabilite la nivel european și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în vederea punerii în practică a unor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realiste, eficiente, eficace și care să contribuie la obiectivele fondului.</w:t>
            </w:r>
          </w:p>
          <w:p w14:paraId="00000501"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p>
          <w:p w14:paraId="00000502" w14:textId="025300AE"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RO a demarat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pentru asigurarea parteneriatului în luna iulie 2019, atunci când Autoritatea de Management Afaceri Interne (AMAI) a organizat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de informare, promovare și îndrumare, inclusiv pentru identificarea partenerilor relevan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privind fondurile europene dedicate afacerilor interne 2021-2027. Au fost organizate sesiuni publice de informare și publicate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relevante pe https://fed.mai.gov.ro/122/lansare-exercitiu-de-programare-pentru-fondurile-europene-dedicate-afacerilor-interne-2021-2027/.</w:t>
            </w:r>
          </w:p>
          <w:p w14:paraId="00000503"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04" w14:textId="14783E20"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lastRenderedPageBreak/>
              <w:t>Documente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relevante, inclusiv stadiul propunerilor de regulamente, au fost publicate pe site-ul AMAI, în sec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iunea https://fed.mai.gov.ro/in/fed-2021-2027/, pentru a asigura un acces ușor la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oportune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pertinente.</w:t>
            </w:r>
          </w:p>
          <w:p w14:paraId="00000505" w14:textId="31581212"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În trimestrul al 4-lea al anului 2020, AMAI a organizat sesiuni de consultare publică, prin procedură scrisă și în sistem videoconferin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privind primul draft al programelor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din Fondurile europene dedicate afacerilor interne 2021-2027.</w:t>
            </w:r>
          </w:p>
          <w:p w14:paraId="00000506"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07" w14:textId="2A7D77E5"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AMAI s-a asigurat că to</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partenerii relevan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și toate persoanele interesate au suficient timp pentru a analiza și prezenta observa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cu privire la principalele documente pregătitoare și proiectele de program, precum și posibilitatea de a pune întrebări. La sesiunile de videoconferin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au participat inclusiv reprezentan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ai societă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civile și organiza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Pentru a asigura transparen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dezbaterilor și posibilitatea de consultare cât mai largă a tuturor păr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interesate, versiunile draft ale programelor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au fost publicate pe </w:t>
            </w:r>
            <w:proofErr w:type="spellStart"/>
            <w:r w:rsidRPr="000D1EF3">
              <w:rPr>
                <w:rFonts w:asciiTheme="majorHAnsi" w:hAnsiTheme="majorHAnsi" w:cstheme="majorHAnsi"/>
                <w:sz w:val="24"/>
                <w:szCs w:val="24"/>
              </w:rPr>
              <w:t>siteul</w:t>
            </w:r>
            <w:proofErr w:type="spellEnd"/>
            <w:r w:rsidRPr="000D1EF3">
              <w:rPr>
                <w:rFonts w:asciiTheme="majorHAnsi" w:hAnsiTheme="majorHAnsi" w:cstheme="majorHAnsi"/>
                <w:sz w:val="24"/>
                <w:szCs w:val="24"/>
              </w:rPr>
              <w:t xml:space="preserve"> AMAI - https://fed.mai.gov.ro/560/consultare-publica-programele-nationale-fondurile-europene-dedicate-afacerilor-interne-2021-2027-vers-preliminare-sect-1-si-2/</w:t>
            </w:r>
          </w:p>
          <w:p w14:paraId="00000508"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09" w14:textId="410CFCCC"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În luna iulie 2021, AM a organizat o noua sesiune de consultare publică privind a doua versiune draft a programelor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textul documentelor a fost publicat pe site-ul</w:t>
            </w:r>
            <w:r w:rsidR="00947AA8" w:rsidRPr="000D1EF3">
              <w:rPr>
                <w:rFonts w:asciiTheme="majorHAnsi" w:hAnsiTheme="majorHAnsi" w:cstheme="majorHAnsi"/>
                <w:sz w:val="24"/>
                <w:szCs w:val="24"/>
              </w:rPr>
              <w:t xml:space="preserve"> </w:t>
            </w:r>
            <w:r w:rsidRPr="000D1EF3">
              <w:rPr>
                <w:rFonts w:asciiTheme="majorHAnsi" w:hAnsiTheme="majorHAnsi" w:cstheme="majorHAnsi"/>
                <w:sz w:val="24"/>
                <w:szCs w:val="24"/>
              </w:rPr>
              <w:t>AMA.</w:t>
            </w:r>
          </w:p>
          <w:p w14:paraId="0000050A"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0B" w14:textId="06099BE0"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Elaborarea Programelor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a fost realizată de AMAI, în cooperare strânsă cu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publice responsabile de politicile domeniilor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prin programele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inclusiv cu societatea civilă și organiza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interna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în domeniul azilului și migra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iei. </w:t>
            </w:r>
          </w:p>
          <w:p w14:paraId="0000050C" w14:textId="69E4CE43"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Ca urmare a desfășurării acestui proces amplu de consultare publică, au fost primite o serie de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acestea fiind analizate și unele au fost preluate par</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 sau integral la nivelul Programelor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Propunerile primite, modalitatea în care acestea au fost integrate sau o justificare a motivului pentru care acestea nu au fost preluate au fost centralizate de AMAI și publicate pe </w:t>
            </w:r>
            <w:proofErr w:type="spellStart"/>
            <w:r w:rsidRPr="000D1EF3">
              <w:rPr>
                <w:rFonts w:asciiTheme="majorHAnsi" w:hAnsiTheme="majorHAnsi" w:cstheme="majorHAnsi"/>
                <w:sz w:val="24"/>
                <w:szCs w:val="24"/>
              </w:rPr>
              <w:t>siteul</w:t>
            </w:r>
            <w:proofErr w:type="spellEnd"/>
            <w:r w:rsidRPr="000D1EF3">
              <w:rPr>
                <w:rFonts w:asciiTheme="majorHAnsi" w:hAnsiTheme="majorHAnsi" w:cstheme="majorHAnsi"/>
                <w:sz w:val="24"/>
                <w:szCs w:val="24"/>
              </w:rPr>
              <w:t xml:space="preserve"> </w:t>
            </w:r>
            <w:hyperlink r:id="rId22">
              <w:r w:rsidRPr="000D1EF3">
                <w:rPr>
                  <w:rFonts w:asciiTheme="majorHAnsi" w:hAnsiTheme="majorHAnsi" w:cstheme="majorHAnsi"/>
                  <w:color w:val="1155CC"/>
                  <w:sz w:val="24"/>
                  <w:szCs w:val="24"/>
                  <w:u w:val="single"/>
                </w:rPr>
                <w:t>www.fed.mai.gov.ro</w:t>
              </w:r>
            </w:hyperlink>
            <w:r w:rsidRPr="000D1EF3">
              <w:rPr>
                <w:rFonts w:asciiTheme="majorHAnsi" w:hAnsiTheme="majorHAnsi" w:cstheme="majorHAnsi"/>
                <w:sz w:val="24"/>
                <w:szCs w:val="24"/>
              </w:rPr>
              <w:t>.</w:t>
            </w:r>
          </w:p>
          <w:p w14:paraId="0000050D"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0E" w14:textId="3772780A"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Pentru asigurarea transparen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și parteneriatului, programele au fost aprobate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de către un comitet director, format din secretarii de stat din cadrul Ministrului Afacerilor Interne cu atribu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de coordonare în domeniile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ale fondurilor, după consultarea prealabilă cu beneficiarii și partenerii relevan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ai programelor.</w:t>
            </w:r>
          </w:p>
          <w:p w14:paraId="0000050F" w14:textId="77777777" w:rsidR="00C62A9B" w:rsidRPr="000D1EF3" w:rsidRDefault="00C62A9B">
            <w:pPr>
              <w:spacing w:after="120"/>
              <w:rPr>
                <w:rFonts w:asciiTheme="majorHAnsi" w:hAnsiTheme="majorHAnsi" w:cstheme="majorHAnsi"/>
                <w:i/>
                <w:sz w:val="24"/>
                <w:szCs w:val="24"/>
              </w:rPr>
            </w:pPr>
          </w:p>
        </w:tc>
      </w:tr>
    </w:tbl>
    <w:p w14:paraId="00000510" w14:textId="77777777" w:rsidR="00C62A9B" w:rsidRPr="000D1EF3" w:rsidRDefault="00C62A9B" w:rsidP="00A83083">
      <w:bookmarkStart w:id="40" w:name="_wcd8254xpiww" w:colFirst="0" w:colLast="0"/>
      <w:bookmarkEnd w:id="40"/>
    </w:p>
    <w:p w14:paraId="00000511" w14:textId="77777777" w:rsidR="00C62A9B" w:rsidRPr="000D1EF3" w:rsidRDefault="00D11CD4" w:rsidP="00E43440">
      <w:pPr>
        <w:pStyle w:val="Heading1"/>
      </w:pPr>
      <w:bookmarkStart w:id="41" w:name="_Toc78795686"/>
      <w:r w:rsidRPr="000D1EF3">
        <w:t>7. Comunicare și vizibilitate</w:t>
      </w:r>
      <w:bookmarkEnd w:id="41"/>
    </w:p>
    <w:p w14:paraId="00000512" w14:textId="77777777"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articolul 22 alineatul (3) litera (j) din RDC</w:t>
      </w:r>
    </w:p>
    <w:tbl>
      <w:tblPr>
        <w:tblStyle w:val="a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C62A9B" w:rsidRPr="000D1EF3" w14:paraId="04476D98" w14:textId="77777777">
        <w:tc>
          <w:tcPr>
            <w:tcW w:w="9288" w:type="dxa"/>
          </w:tcPr>
          <w:p w14:paraId="00000513" w14:textId="230F2BA0"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Comunicarea rezultatelor care vor fi ob</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 precum și a impactului acestor realizări asupra publicului larg, reprezintă viziunea strategiei de comunicare a Fondurilor europene dedicate afacerilor interne.</w:t>
            </w:r>
          </w:p>
          <w:p w14:paraId="00000514" w14:textId="5D42FFDF"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Informarea și creșterea vizibilită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oportunită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are care să contribuie la obiectivele de politică și specifice fondurilor trebuie realizată integrat și reprezintă o prioritate majoră în perioada de programare financiară 2021-2027. </w:t>
            </w:r>
          </w:p>
          <w:p w14:paraId="00000515" w14:textId="6E808332"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AM va asigurarea comunicarea și vizibilitatea, pe scară largă și sistematică, a oportunită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ilor, rezultatelor și impactului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ărilor asigurate prin proiectele implementate cu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are din fondurile afacerilor interne. </w:t>
            </w:r>
          </w:p>
          <w:p w14:paraId="00000516"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highlight w:val="cyan"/>
              </w:rPr>
            </w:pPr>
          </w:p>
          <w:p w14:paraId="00000517" w14:textId="4813DB54"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În acord cu prevederile RDC privind vizibilitatea,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comunicare vor fi coordonate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în cadrul unei Strategii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de comunicare, care va pune bazele unei comunicări coerente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a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ărilor europene, inclusiv a fondurilor afacerilor interne.  </w:t>
            </w:r>
          </w:p>
          <w:p w14:paraId="00000518"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p>
          <w:p w14:paraId="00000519" w14:textId="61CF6F55"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În conformitate cu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iile stabilite prin art. 41 (b), portalul unic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pentru fondurile europene www.fonduri-ue.ro, care va fi administrat de către Ministerul Investi</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iilor și Proiectelor Europene, va include și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privind fondurile aferente domeniului afaceri interne, precum și acces la programele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ionale, incluzând obiectivele și activită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acestora și oportunită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are. </w:t>
            </w:r>
          </w:p>
          <w:p w14:paraId="0000051A" w14:textId="3695BB13"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Portalul unic va asigura comunicarea spre cetă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eni a rolului și realizărilor ob</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 cu fondurile europene dedicate afacerilor interne. Programele afaceri interne vor dispune de o sec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 dedicată pe acest portal.</w:t>
            </w:r>
          </w:p>
          <w:p w14:paraId="0000051B"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1C" w14:textId="6726C248"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De asemenea, Programele afaceri interne vor dispune și de sec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 distincte pe site-ul dedicat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ărilor aferente afacerilor interne, administrat de AM – </w:t>
            </w:r>
            <w:hyperlink r:id="rId23">
              <w:r w:rsidRPr="000D1EF3">
                <w:rPr>
                  <w:rFonts w:asciiTheme="majorHAnsi" w:hAnsiTheme="majorHAnsi" w:cstheme="majorHAnsi"/>
                  <w:color w:val="0563C1"/>
                  <w:sz w:val="24"/>
                  <w:szCs w:val="24"/>
                  <w:u w:val="single"/>
                </w:rPr>
                <w:t>www.fed.mai.gov.ro</w:t>
              </w:r>
            </w:hyperlink>
            <w:r w:rsidRPr="000D1EF3">
              <w:rPr>
                <w:rFonts w:asciiTheme="majorHAnsi" w:hAnsiTheme="majorHAnsi" w:cstheme="majorHAnsi"/>
                <w:sz w:val="24"/>
                <w:szCs w:val="24"/>
              </w:rPr>
              <w:t>. Se vor publica în format deschis listele actualizate cu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iunile (proiectele) cofinan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de UE, se va oferi acces la oportunită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active, la calendarul apelurilor de proiecte, și în general la toate documentele relevante pentru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area europeană. Calendarul cererilor de propuneri va fi actualizat de cel pu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 trei ori pe an. Lista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iunilor selectate pentru sprijin din fonduri va fi publicată, în formate deschise și prelucrabile automat, în limba română și în limba. engleză și va fi actualizată cel pu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in la fiecare patru luni. </w:t>
            </w:r>
          </w:p>
          <w:p w14:paraId="0000051D" w14:textId="23064A78"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Afișarea publică a unor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privind sprijinul din partea fondurilor va fi limitată, pentru motive care privesc securitatea, ordinea publică, anchete penale sau protec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datelor cu caracter personal.</w:t>
            </w:r>
          </w:p>
          <w:p w14:paraId="0000051E"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1F" w14:textId="5F3CA023"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La nivelul AM, este desemnat un responsabil privind ac</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iunile de comunicare pe toate cele trei programe afaceri interne.</w:t>
            </w:r>
          </w:p>
          <w:p w14:paraId="00000520"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21" w14:textId="77777777"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Obiectivele generale de comunicare ale programelor afaceri interne sunt:</w:t>
            </w:r>
          </w:p>
          <w:p w14:paraId="00000522" w14:textId="4312E9A0"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1. Asigurarea transparen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ei în ceea ce privește obiectivele programului, oportunită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și rezultatele ob</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inute;</w:t>
            </w:r>
          </w:p>
          <w:p w14:paraId="00000523" w14:textId="73C9B2E9"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2. Informarea și 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 poten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ialilor beneficiari cu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care să asigure elaborarea de proiecte mature și clare;</w:t>
            </w:r>
          </w:p>
          <w:p w14:paraId="00000524" w14:textId="77777777"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3. Îndrumarea beneficiarilor să implementeze corect și eficient proiectele.</w:t>
            </w:r>
          </w:p>
          <w:p w14:paraId="00000525"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26" w14:textId="60FB41A6"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 xml:space="preserve">Publicul </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intă căruia i se adresează măsurile de comunicare este reprezentat de: poten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ialii beneficiari și beneficiarii, publicul larg,</w:t>
            </w:r>
            <w:r w:rsidR="00947AA8" w:rsidRPr="000D1EF3">
              <w:rPr>
                <w:rFonts w:asciiTheme="majorHAnsi" w:hAnsiTheme="majorHAnsi" w:cstheme="majorHAnsi"/>
                <w:sz w:val="24"/>
                <w:szCs w:val="24"/>
              </w:rPr>
              <w:t xml:space="preserve"> </w:t>
            </w:r>
            <w:r w:rsidRPr="000D1EF3">
              <w:rPr>
                <w:rFonts w:asciiTheme="majorHAnsi" w:hAnsiTheme="majorHAnsi" w:cstheme="majorHAnsi"/>
                <w:sz w:val="24"/>
                <w:szCs w:val="24"/>
              </w:rPr>
              <w:t>actorii implica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partenerii sociali, presa.</w:t>
            </w:r>
          </w:p>
          <w:p w14:paraId="00000527"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28" w14:textId="2CF5825E"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t xml:space="preserve">Principalele canale și mijloacele de comunicare utilizate vor fi: evenimente și consultări (offline sau online),; materiale de comunicare publicate online (articole, precizări, sinteze, </w:t>
            </w:r>
            <w:proofErr w:type="spellStart"/>
            <w:r w:rsidRPr="000D1EF3">
              <w:rPr>
                <w:rFonts w:asciiTheme="majorHAnsi" w:hAnsiTheme="majorHAnsi" w:cstheme="majorHAnsi"/>
                <w:sz w:val="24"/>
                <w:szCs w:val="24"/>
              </w:rPr>
              <w:t>tutoriale</w:t>
            </w:r>
            <w:proofErr w:type="spellEnd"/>
            <w:r w:rsidRPr="000D1EF3">
              <w:rPr>
                <w:rFonts w:asciiTheme="majorHAnsi" w:hAnsiTheme="majorHAnsi" w:cstheme="majorHAnsi"/>
                <w:sz w:val="24"/>
                <w:szCs w:val="24"/>
              </w:rPr>
              <w:t>, ghiduri practice etc),; pagina specifică programului pe website-</w:t>
            </w:r>
            <w:proofErr w:type="spellStart"/>
            <w:r w:rsidRPr="000D1EF3">
              <w:rPr>
                <w:rFonts w:asciiTheme="majorHAnsi" w:hAnsiTheme="majorHAnsi" w:cstheme="majorHAnsi"/>
                <w:sz w:val="24"/>
                <w:szCs w:val="24"/>
              </w:rPr>
              <w:t>ul</w:t>
            </w:r>
            <w:proofErr w:type="spellEnd"/>
            <w:r w:rsidRPr="000D1EF3">
              <w:rPr>
                <w:rFonts w:asciiTheme="majorHAnsi" w:hAnsiTheme="majorHAnsi" w:cstheme="majorHAnsi"/>
                <w:sz w:val="24"/>
                <w:szCs w:val="24"/>
              </w:rPr>
              <w:t xml:space="preserve"> unic, pagina specifică programului pe website-</w:t>
            </w:r>
            <w:proofErr w:type="spellStart"/>
            <w:r w:rsidRPr="000D1EF3">
              <w:rPr>
                <w:rFonts w:asciiTheme="majorHAnsi" w:hAnsiTheme="majorHAnsi" w:cstheme="majorHAnsi"/>
                <w:sz w:val="24"/>
                <w:szCs w:val="24"/>
              </w:rPr>
              <w:t>ul</w:t>
            </w:r>
            <w:proofErr w:type="spellEnd"/>
            <w:r w:rsidRPr="000D1EF3">
              <w:rPr>
                <w:rFonts w:asciiTheme="majorHAnsi" w:hAnsiTheme="majorHAnsi" w:cstheme="majorHAnsi"/>
                <w:sz w:val="24"/>
                <w:szCs w:val="24"/>
              </w:rPr>
              <w:t xml:space="preserve"> dedicat, cu informa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la zi,; pagini de social media, colaborarea cu reprezentan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presei, publicitate.</w:t>
            </w:r>
          </w:p>
          <w:p w14:paraId="00000529"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2A" w14:textId="77777777" w:rsidR="00C62A9B" w:rsidRPr="000D1EF3" w:rsidRDefault="00D11CD4">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r w:rsidRPr="000D1EF3">
              <w:rPr>
                <w:rFonts w:asciiTheme="majorHAnsi" w:hAnsiTheme="majorHAnsi" w:cstheme="majorHAnsi"/>
                <w:sz w:val="24"/>
                <w:szCs w:val="24"/>
              </w:rPr>
              <w:t xml:space="preserve">Bugetul estimativ pentru promovarea specifică a programului este de 200.000 euro. </w:t>
            </w:r>
          </w:p>
          <w:p w14:paraId="0000052B" w14:textId="77777777" w:rsidR="00C62A9B" w:rsidRPr="000D1EF3" w:rsidRDefault="00C62A9B">
            <w:pPr>
              <w:pBdr>
                <w:top w:val="single" w:sz="4" w:space="0" w:color="000000"/>
                <w:left w:val="single" w:sz="4" w:space="0" w:color="000000"/>
                <w:bottom w:val="single" w:sz="4" w:space="0" w:color="000000"/>
                <w:right w:val="single" w:sz="4" w:space="0" w:color="000000"/>
              </w:pBdr>
              <w:ind w:left="57" w:right="57"/>
              <w:rPr>
                <w:rFonts w:asciiTheme="majorHAnsi" w:hAnsiTheme="majorHAnsi" w:cstheme="majorHAnsi"/>
                <w:sz w:val="24"/>
                <w:szCs w:val="24"/>
              </w:rPr>
            </w:pPr>
          </w:p>
          <w:p w14:paraId="0000052C" w14:textId="4D364F22"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sz w:val="24"/>
                <w:szCs w:val="24"/>
              </w:rPr>
            </w:pPr>
            <w:r w:rsidRPr="000D1EF3">
              <w:rPr>
                <w:rFonts w:asciiTheme="majorHAnsi" w:hAnsiTheme="majorHAnsi" w:cstheme="majorHAnsi"/>
                <w:sz w:val="24"/>
                <w:szCs w:val="24"/>
              </w:rPr>
              <w:lastRenderedPageBreak/>
              <w:t>Indicatorii care vor fi utiliza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pentru monitorizarea și evaluarea comunicării sunt: statistici de trafic web pentru pagina dedicată, număr de participan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la sesiunile de informare/asisten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număr de articole publicate pe site-uri dedicate, numărul de articole/referiri în media, număr de accesări pe paginile de comunicare socială.</w:t>
            </w:r>
          </w:p>
          <w:p w14:paraId="0000052D" w14:textId="42348185" w:rsidR="00C62A9B" w:rsidRPr="000D1EF3" w:rsidRDefault="00D11CD4">
            <w:pPr>
              <w:pBdr>
                <w:top w:val="single" w:sz="4" w:space="0" w:color="000000"/>
                <w:left w:val="single" w:sz="4" w:space="0" w:color="000000"/>
                <w:bottom w:val="single" w:sz="4" w:space="0" w:color="000000"/>
                <w:right w:val="single" w:sz="4" w:space="0" w:color="000000"/>
              </w:pBdr>
              <w:ind w:left="57" w:right="57"/>
              <w:jc w:val="both"/>
              <w:rPr>
                <w:rFonts w:asciiTheme="majorHAnsi" w:hAnsiTheme="majorHAnsi" w:cstheme="majorHAnsi"/>
                <w:i/>
                <w:sz w:val="24"/>
                <w:szCs w:val="24"/>
              </w:rPr>
            </w:pPr>
            <w:r w:rsidRPr="000D1EF3">
              <w:rPr>
                <w:rFonts w:asciiTheme="majorHAnsi" w:hAnsiTheme="majorHAnsi" w:cstheme="majorHAnsi"/>
                <w:sz w:val="24"/>
                <w:szCs w:val="24"/>
              </w:rPr>
              <w:t>Pentru a sprijini activitatea de informare și comunicare la nivelul beneficiarilor, AM a elaborat un manual de identitate vizuală care va fi aplicat la nivel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ional și care va con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ine elementele de vizibilitate ce vor fi utilizate pentru toate materialele de comunicare și publicitate pentru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iunile cofinan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ate în cadrul celor trei programe na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ionale. </w:t>
            </w:r>
          </w:p>
        </w:tc>
      </w:tr>
    </w:tbl>
    <w:p w14:paraId="0000052E" w14:textId="77777777" w:rsidR="00C62A9B" w:rsidRPr="000D1EF3" w:rsidRDefault="00D11CD4">
      <w:pPr>
        <w:spacing w:after="120" w:line="240" w:lineRule="auto"/>
        <w:rPr>
          <w:rFonts w:asciiTheme="majorHAnsi" w:hAnsiTheme="majorHAnsi" w:cstheme="majorHAnsi"/>
          <w:i/>
          <w:sz w:val="24"/>
          <w:szCs w:val="24"/>
        </w:rPr>
        <w:sectPr w:rsidR="00C62A9B" w:rsidRPr="000D1EF3" w:rsidSect="00812FFF">
          <w:pgSz w:w="11907" w:h="16840" w:code="9"/>
          <w:pgMar w:top="567" w:right="1134" w:bottom="567" w:left="1134" w:header="567" w:footer="567" w:gutter="0"/>
          <w:cols w:space="720"/>
        </w:sectPr>
      </w:pPr>
      <w:r w:rsidRPr="000D1EF3">
        <w:rPr>
          <w:rFonts w:asciiTheme="majorHAnsi" w:hAnsiTheme="majorHAnsi" w:cstheme="majorHAnsi"/>
          <w:sz w:val="24"/>
          <w:szCs w:val="24"/>
        </w:rPr>
        <w:lastRenderedPageBreak/>
        <w:br w:type="page"/>
      </w:r>
    </w:p>
    <w:p w14:paraId="0000052F" w14:textId="513BA00A" w:rsidR="00C62A9B" w:rsidRPr="000D1EF3" w:rsidRDefault="00D11CD4" w:rsidP="00E43440">
      <w:pPr>
        <w:pStyle w:val="Heading1"/>
      </w:pPr>
      <w:bookmarkStart w:id="42" w:name="_Toc78795687"/>
      <w:r w:rsidRPr="000D1EF3">
        <w:lastRenderedPageBreak/>
        <w:t>8. Utilizarea costurilor unitare, a sumelor forfetare, a ratelor forfetare și a finan</w:t>
      </w:r>
      <w:r w:rsidR="00812FFF" w:rsidRPr="000D1EF3">
        <w:t>ț</w:t>
      </w:r>
      <w:r w:rsidRPr="000D1EF3">
        <w:t>ărilor nelegate de costuri</w:t>
      </w:r>
      <w:bookmarkEnd w:id="42"/>
    </w:p>
    <w:p w14:paraId="00000530" w14:textId="5EAB319D" w:rsidR="00C62A9B" w:rsidRPr="000D1EF3" w:rsidRDefault="00D11CD4">
      <w:pPr>
        <w:spacing w:after="120" w:line="240" w:lineRule="auto"/>
        <w:rPr>
          <w:rFonts w:asciiTheme="majorHAnsi" w:hAnsiTheme="majorHAnsi" w:cstheme="majorHAnsi"/>
          <w:i/>
          <w:sz w:val="24"/>
          <w:szCs w:val="24"/>
        </w:rPr>
      </w:pPr>
      <w:r w:rsidRPr="000D1EF3">
        <w:rPr>
          <w:rFonts w:asciiTheme="majorHAnsi" w:hAnsiTheme="majorHAnsi" w:cstheme="majorHAnsi"/>
          <w:i/>
          <w:sz w:val="24"/>
          <w:szCs w:val="24"/>
        </w:rPr>
        <w:t>Trimitere: articolele 94 și 95 din RDC</w:t>
      </w:r>
    </w:p>
    <w:tbl>
      <w:tblPr>
        <w:tblStyle w:val="af2"/>
        <w:tblW w:w="12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gridCol w:w="1395"/>
        <w:gridCol w:w="2055"/>
      </w:tblGrid>
      <w:tr w:rsidR="00C62A9B" w:rsidRPr="000D1EF3" w14:paraId="43441575" w14:textId="77777777">
        <w:tc>
          <w:tcPr>
            <w:tcW w:w="9495" w:type="dxa"/>
          </w:tcPr>
          <w:p w14:paraId="00000531" w14:textId="7CE43945" w:rsidR="00C62A9B" w:rsidRPr="000D1EF3" w:rsidRDefault="00D11CD4">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Se inten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ionează utilizarea articolelor 94 și 95din RDC</w:t>
            </w:r>
          </w:p>
        </w:tc>
        <w:tc>
          <w:tcPr>
            <w:tcW w:w="1395" w:type="dxa"/>
          </w:tcPr>
          <w:p w14:paraId="00000532"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Theme="majorHAnsi" w:hAnsiTheme="majorHAnsi" w:cstheme="majorHAnsi"/>
                <w:b/>
                <w:sz w:val="24"/>
                <w:szCs w:val="24"/>
                <w:u w:val="single"/>
              </w:rPr>
              <w:t>DA</w:t>
            </w:r>
          </w:p>
        </w:tc>
        <w:tc>
          <w:tcPr>
            <w:tcW w:w="2055" w:type="dxa"/>
          </w:tcPr>
          <w:p w14:paraId="00000533"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Theme="majorHAnsi" w:hAnsiTheme="majorHAnsi" w:cstheme="majorHAnsi"/>
                <w:b/>
                <w:sz w:val="24"/>
                <w:szCs w:val="24"/>
                <w:u w:val="single"/>
              </w:rPr>
              <w:t>NU</w:t>
            </w:r>
          </w:p>
        </w:tc>
      </w:tr>
      <w:tr w:rsidR="00C62A9B" w:rsidRPr="000D1EF3" w14:paraId="25F7F24C" w14:textId="77777777">
        <w:tc>
          <w:tcPr>
            <w:tcW w:w="9495" w:type="dxa"/>
          </w:tcPr>
          <w:p w14:paraId="00000534" w14:textId="666DAA9F" w:rsidR="00C62A9B" w:rsidRPr="000D1EF3" w:rsidRDefault="00D11CD4">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De la adoptare, programul va face uz de rambursarea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Uniunii bazate pe costuri unitare, sume forfetare și rate forfetare în cadrul priorită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ii, în conformitate cu articolul 94 din RDC (dacă da, completa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apendicele 1)</w:t>
            </w:r>
          </w:p>
        </w:tc>
        <w:tc>
          <w:tcPr>
            <w:tcW w:w="1395" w:type="dxa"/>
          </w:tcPr>
          <w:p w14:paraId="00000535"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Theme="majorHAnsi" w:hAnsiTheme="majorHAnsi" w:cstheme="majorHAnsi"/>
                <w:b/>
                <w:sz w:val="24"/>
                <w:szCs w:val="24"/>
                <w:u w:val="single"/>
              </w:rPr>
              <w:t>X</w:t>
            </w:r>
          </w:p>
        </w:tc>
        <w:tc>
          <w:tcPr>
            <w:tcW w:w="2055" w:type="dxa"/>
          </w:tcPr>
          <w:p w14:paraId="00000536"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Segoe UI Symbol" w:hAnsi="Segoe UI Symbol" w:cs="Segoe UI Symbol"/>
                <w:b/>
                <w:sz w:val="24"/>
                <w:szCs w:val="24"/>
                <w:u w:val="single"/>
              </w:rPr>
              <w:t>☐</w:t>
            </w:r>
          </w:p>
        </w:tc>
      </w:tr>
      <w:tr w:rsidR="00C62A9B" w:rsidRPr="000D1EF3" w14:paraId="34172607" w14:textId="77777777">
        <w:tc>
          <w:tcPr>
            <w:tcW w:w="9495" w:type="dxa"/>
          </w:tcPr>
          <w:p w14:paraId="00000537" w14:textId="4795BDF6" w:rsidR="00C62A9B" w:rsidRPr="000D1EF3" w:rsidRDefault="00D11CD4">
            <w:pPr>
              <w:spacing w:after="0" w:line="240" w:lineRule="auto"/>
              <w:rPr>
                <w:rFonts w:asciiTheme="majorHAnsi" w:hAnsiTheme="majorHAnsi" w:cstheme="majorHAnsi"/>
                <w:sz w:val="24"/>
                <w:szCs w:val="24"/>
              </w:rPr>
            </w:pPr>
            <w:r w:rsidRPr="000D1EF3">
              <w:rPr>
                <w:rFonts w:asciiTheme="majorHAnsi" w:hAnsiTheme="majorHAnsi" w:cstheme="majorHAnsi"/>
                <w:sz w:val="24"/>
                <w:szCs w:val="24"/>
              </w:rPr>
              <w:t>De la adoptare, programul va face uz de rambursarea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iei Uniunii bazate pe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ări nelegate de costuri, în conformitate cu articolul 95 din RDC (dacă da, completa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apendicele 2)</w:t>
            </w:r>
          </w:p>
        </w:tc>
        <w:tc>
          <w:tcPr>
            <w:tcW w:w="1395" w:type="dxa"/>
          </w:tcPr>
          <w:p w14:paraId="00000538"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Segoe UI Symbol" w:hAnsi="Segoe UI Symbol" w:cs="Segoe UI Symbol"/>
                <w:b/>
                <w:sz w:val="24"/>
                <w:szCs w:val="24"/>
                <w:u w:val="single"/>
              </w:rPr>
              <w:t>☐</w:t>
            </w:r>
          </w:p>
        </w:tc>
        <w:tc>
          <w:tcPr>
            <w:tcW w:w="2055" w:type="dxa"/>
          </w:tcPr>
          <w:p w14:paraId="00000539" w14:textId="77777777" w:rsidR="00C62A9B" w:rsidRPr="000D1EF3" w:rsidRDefault="00D11CD4">
            <w:pPr>
              <w:spacing w:after="0" w:line="240" w:lineRule="auto"/>
              <w:rPr>
                <w:rFonts w:asciiTheme="majorHAnsi" w:hAnsiTheme="majorHAnsi" w:cstheme="majorHAnsi"/>
                <w:b/>
                <w:sz w:val="24"/>
                <w:szCs w:val="24"/>
                <w:u w:val="single"/>
              </w:rPr>
            </w:pPr>
            <w:r w:rsidRPr="000D1EF3">
              <w:rPr>
                <w:rFonts w:asciiTheme="majorHAnsi" w:hAnsiTheme="majorHAnsi" w:cstheme="majorHAnsi"/>
                <w:b/>
                <w:sz w:val="24"/>
                <w:szCs w:val="24"/>
                <w:u w:val="single"/>
              </w:rPr>
              <w:t>X</w:t>
            </w:r>
          </w:p>
        </w:tc>
      </w:tr>
    </w:tbl>
    <w:p w14:paraId="0000053A" w14:textId="77777777" w:rsidR="00C62A9B" w:rsidRPr="000D1EF3" w:rsidRDefault="00C62A9B">
      <w:pPr>
        <w:rPr>
          <w:rFonts w:asciiTheme="majorHAnsi" w:hAnsiTheme="majorHAnsi" w:cstheme="majorHAnsi"/>
          <w:sz w:val="24"/>
          <w:szCs w:val="24"/>
        </w:rPr>
      </w:pPr>
    </w:p>
    <w:p w14:paraId="0000053B" w14:textId="2411E447" w:rsidR="00C62A9B" w:rsidRPr="000D1EF3" w:rsidRDefault="00D11CD4" w:rsidP="00E43440">
      <w:pPr>
        <w:pStyle w:val="Heading2"/>
      </w:pPr>
      <w:bookmarkStart w:id="43" w:name="_Toc78795688"/>
      <w:r w:rsidRPr="000D1EF3">
        <w:t>Apendicele 1 - Contribu</w:t>
      </w:r>
      <w:r w:rsidR="00812FFF" w:rsidRPr="000D1EF3">
        <w:t>ț</w:t>
      </w:r>
      <w:r w:rsidRPr="000D1EF3">
        <w:t>ia Uniunii bazată pe costuri unitare, sume forfetare și rate forfetare</w:t>
      </w:r>
      <w:bookmarkEnd w:id="43"/>
    </w:p>
    <w:p w14:paraId="0000053C" w14:textId="77777777"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 xml:space="preserve">Model pentru transmiterea datelor către Comisie spre analiză (articolul 94 din RDC) </w:t>
      </w:r>
    </w:p>
    <w:tbl>
      <w:tblPr>
        <w:tblStyle w:val="af3"/>
        <w:tblW w:w="909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4650"/>
      </w:tblGrid>
      <w:tr w:rsidR="00C62A9B" w:rsidRPr="000D1EF3" w14:paraId="771A9AE7" w14:textId="77777777">
        <w:trPr>
          <w:trHeight w:val="139"/>
        </w:trPr>
        <w:tc>
          <w:tcPr>
            <w:tcW w:w="4440" w:type="dxa"/>
            <w:shd w:val="clear" w:color="auto" w:fill="auto"/>
          </w:tcPr>
          <w:p w14:paraId="0000053D" w14:textId="77777777" w:rsidR="00C62A9B" w:rsidRPr="000D1EF3" w:rsidRDefault="00D11CD4">
            <w:pPr>
              <w:rPr>
                <w:rFonts w:asciiTheme="majorHAnsi" w:hAnsiTheme="majorHAnsi" w:cstheme="majorHAnsi"/>
                <w:sz w:val="24"/>
                <w:szCs w:val="24"/>
              </w:rPr>
            </w:pPr>
            <w:r w:rsidRPr="000D1EF3">
              <w:rPr>
                <w:rFonts w:asciiTheme="majorHAnsi" w:hAnsiTheme="majorHAnsi" w:cstheme="majorHAnsi"/>
                <w:sz w:val="24"/>
                <w:szCs w:val="24"/>
              </w:rPr>
              <w:t>Data transmiterii propunerii</w:t>
            </w:r>
          </w:p>
        </w:tc>
        <w:tc>
          <w:tcPr>
            <w:tcW w:w="4650" w:type="dxa"/>
            <w:shd w:val="clear" w:color="auto" w:fill="auto"/>
          </w:tcPr>
          <w:p w14:paraId="0000053E" w14:textId="77777777" w:rsidR="00C62A9B" w:rsidRPr="000D1EF3" w:rsidRDefault="00C62A9B">
            <w:pPr>
              <w:rPr>
                <w:rFonts w:asciiTheme="majorHAnsi" w:hAnsiTheme="majorHAnsi" w:cstheme="majorHAnsi"/>
                <w:sz w:val="24"/>
                <w:szCs w:val="24"/>
              </w:rPr>
            </w:pPr>
          </w:p>
        </w:tc>
      </w:tr>
      <w:tr w:rsidR="00C62A9B" w:rsidRPr="000D1EF3" w14:paraId="52B5913E" w14:textId="77777777">
        <w:tc>
          <w:tcPr>
            <w:tcW w:w="4440" w:type="dxa"/>
            <w:shd w:val="clear" w:color="auto" w:fill="auto"/>
          </w:tcPr>
          <w:p w14:paraId="0000053F" w14:textId="77777777" w:rsidR="00C62A9B" w:rsidRPr="000D1EF3" w:rsidRDefault="00C62A9B">
            <w:pPr>
              <w:rPr>
                <w:rFonts w:asciiTheme="majorHAnsi" w:hAnsiTheme="majorHAnsi" w:cstheme="majorHAnsi"/>
                <w:sz w:val="24"/>
                <w:szCs w:val="24"/>
              </w:rPr>
            </w:pPr>
          </w:p>
        </w:tc>
        <w:tc>
          <w:tcPr>
            <w:tcW w:w="4650" w:type="dxa"/>
            <w:shd w:val="clear" w:color="auto" w:fill="auto"/>
          </w:tcPr>
          <w:p w14:paraId="00000540" w14:textId="77777777" w:rsidR="00C62A9B" w:rsidRPr="000D1EF3" w:rsidRDefault="00C62A9B">
            <w:pPr>
              <w:rPr>
                <w:rFonts w:asciiTheme="majorHAnsi" w:hAnsiTheme="majorHAnsi" w:cstheme="majorHAnsi"/>
                <w:sz w:val="24"/>
                <w:szCs w:val="24"/>
              </w:rPr>
            </w:pPr>
          </w:p>
        </w:tc>
      </w:tr>
    </w:tbl>
    <w:p w14:paraId="00000541" w14:textId="717BE25A"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Acest apendice nu este necesar atunci când se utilizează op</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iunile de costuri simplificate (OCS) la nivelul Uniunii stabilite prin actul delegat men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ionat la articolul 94 alineatul (4) din RDC.</w:t>
      </w:r>
    </w:p>
    <w:p w14:paraId="00000542" w14:textId="25191217" w:rsidR="00C62A9B" w:rsidRPr="000D1EF3" w:rsidRDefault="00D11CD4" w:rsidP="00947AA8">
      <w:pPr>
        <w:pStyle w:val="Heading3"/>
        <w:numPr>
          <w:ilvl w:val="0"/>
          <w:numId w:val="3"/>
        </w:numPr>
        <w:spacing w:after="120" w:line="240" w:lineRule="auto"/>
        <w:rPr>
          <w:rFonts w:asciiTheme="majorHAnsi" w:hAnsiTheme="majorHAnsi" w:cstheme="majorHAnsi"/>
        </w:rPr>
      </w:pPr>
      <w:bookmarkStart w:id="44" w:name="_Toc78795689"/>
      <w:r w:rsidRPr="000D1EF3">
        <w:rPr>
          <w:rFonts w:asciiTheme="majorHAnsi" w:hAnsiTheme="majorHAnsi" w:cstheme="majorHAnsi"/>
        </w:rPr>
        <w:t>Rezumatul principalelor elemente</w:t>
      </w:r>
      <w:bookmarkEnd w:id="44"/>
      <w:r w:rsidRPr="000D1EF3">
        <w:rPr>
          <w:rFonts w:asciiTheme="majorHAnsi" w:hAnsiTheme="majorHAnsi" w:cstheme="majorHAnsi"/>
        </w:rPr>
        <w:t xml:space="preserve"> </w:t>
      </w:r>
    </w:p>
    <w:tbl>
      <w:tblPr>
        <w:tblStyle w:val="af4"/>
        <w:tblW w:w="14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2175"/>
        <w:gridCol w:w="885"/>
        <w:gridCol w:w="690"/>
        <w:gridCol w:w="1020"/>
        <w:gridCol w:w="480"/>
        <w:gridCol w:w="1605"/>
        <w:gridCol w:w="2070"/>
        <w:gridCol w:w="3660"/>
      </w:tblGrid>
      <w:tr w:rsidR="00C62A9B" w:rsidRPr="000D1EF3" w14:paraId="1A91E525" w14:textId="77777777">
        <w:trPr>
          <w:jc w:val="center"/>
        </w:trPr>
        <w:tc>
          <w:tcPr>
            <w:tcW w:w="1905" w:type="dxa"/>
            <w:vAlign w:val="center"/>
          </w:tcPr>
          <w:p w14:paraId="00000543" w14:textId="77777777" w:rsidR="00C62A9B" w:rsidRPr="000D1EF3" w:rsidRDefault="00D11CD4">
            <w:pPr>
              <w:jc w:val="center"/>
              <w:rPr>
                <w:rFonts w:asciiTheme="majorHAnsi" w:hAnsiTheme="majorHAnsi" w:cstheme="majorHAnsi"/>
                <w:b/>
                <w:i/>
                <w:sz w:val="20"/>
                <w:szCs w:val="20"/>
              </w:rPr>
            </w:pPr>
            <w:r w:rsidRPr="000D1EF3">
              <w:rPr>
                <w:rFonts w:asciiTheme="majorHAnsi" w:hAnsiTheme="majorHAnsi" w:cstheme="majorHAnsi"/>
                <w:b/>
                <w:i/>
                <w:sz w:val="20"/>
                <w:szCs w:val="20"/>
              </w:rPr>
              <w:t>Obiectiv specific</w:t>
            </w:r>
          </w:p>
        </w:tc>
        <w:tc>
          <w:tcPr>
            <w:tcW w:w="2175" w:type="dxa"/>
            <w:vAlign w:val="center"/>
          </w:tcPr>
          <w:p w14:paraId="00000544" w14:textId="0D218C3D"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Propor</w:t>
            </w:r>
            <w:r w:rsidR="00812FFF" w:rsidRPr="000D1EF3">
              <w:rPr>
                <w:rFonts w:asciiTheme="majorHAnsi" w:hAnsiTheme="majorHAnsi" w:cstheme="majorHAnsi"/>
                <w:b/>
                <w:sz w:val="20"/>
                <w:szCs w:val="20"/>
              </w:rPr>
              <w:t>ț</w:t>
            </w:r>
            <w:r w:rsidRPr="000D1EF3">
              <w:rPr>
                <w:rFonts w:asciiTheme="majorHAnsi" w:hAnsiTheme="majorHAnsi" w:cstheme="majorHAnsi"/>
                <w:b/>
                <w:sz w:val="20"/>
                <w:szCs w:val="20"/>
              </w:rPr>
              <w:t>ia estimată din alocarea financiară totală în cadrul obiectivului specific, căreia i se va aplica OCS, în %</w:t>
            </w:r>
          </w:p>
        </w:tc>
        <w:tc>
          <w:tcPr>
            <w:tcW w:w="1575" w:type="dxa"/>
            <w:gridSpan w:val="2"/>
            <w:shd w:val="clear" w:color="auto" w:fill="auto"/>
            <w:vAlign w:val="center"/>
          </w:tcPr>
          <w:p w14:paraId="00000545" w14:textId="37806816"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Tipul (tipurile) de opera</w:t>
            </w:r>
            <w:r w:rsidR="00812FFF" w:rsidRPr="000D1EF3">
              <w:rPr>
                <w:rFonts w:asciiTheme="majorHAnsi" w:hAnsiTheme="majorHAnsi" w:cstheme="majorHAnsi"/>
                <w:b/>
                <w:sz w:val="20"/>
                <w:szCs w:val="20"/>
              </w:rPr>
              <w:t>ț</w:t>
            </w:r>
            <w:r w:rsidRPr="000D1EF3">
              <w:rPr>
                <w:rFonts w:asciiTheme="majorHAnsi" w:hAnsiTheme="majorHAnsi" w:cstheme="majorHAnsi"/>
                <w:b/>
                <w:sz w:val="20"/>
                <w:szCs w:val="20"/>
              </w:rPr>
              <w:t>iune acoperită (acoperite)</w:t>
            </w:r>
          </w:p>
        </w:tc>
        <w:tc>
          <w:tcPr>
            <w:tcW w:w="1500" w:type="dxa"/>
            <w:gridSpan w:val="2"/>
            <w:shd w:val="clear" w:color="auto" w:fill="auto"/>
            <w:vAlign w:val="center"/>
          </w:tcPr>
          <w:p w14:paraId="00000547" w14:textId="77777777"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Indicatorul care determină rambursarea</w:t>
            </w:r>
          </w:p>
        </w:tc>
        <w:tc>
          <w:tcPr>
            <w:tcW w:w="1605" w:type="dxa"/>
            <w:shd w:val="clear" w:color="auto" w:fill="auto"/>
            <w:vAlign w:val="center"/>
          </w:tcPr>
          <w:p w14:paraId="00000549" w14:textId="77777777"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Unitatea de măsură a indicatorului care determină rambursarea</w:t>
            </w:r>
          </w:p>
        </w:tc>
        <w:tc>
          <w:tcPr>
            <w:tcW w:w="2070" w:type="dxa"/>
            <w:vAlign w:val="center"/>
          </w:tcPr>
          <w:p w14:paraId="0000054A" w14:textId="77777777"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Tip de OCS (baremul standard pentru costurile unitare, sumele forfetare sau ratele forfetare)</w:t>
            </w:r>
          </w:p>
        </w:tc>
        <w:tc>
          <w:tcPr>
            <w:tcW w:w="3660" w:type="dxa"/>
            <w:shd w:val="clear" w:color="auto" w:fill="auto"/>
            <w:vAlign w:val="center"/>
          </w:tcPr>
          <w:p w14:paraId="0000054B" w14:textId="77777777" w:rsidR="00C62A9B" w:rsidRPr="000D1EF3" w:rsidRDefault="00D11CD4">
            <w:pPr>
              <w:jc w:val="center"/>
              <w:rPr>
                <w:rFonts w:asciiTheme="majorHAnsi" w:hAnsiTheme="majorHAnsi" w:cstheme="majorHAnsi"/>
                <w:b/>
                <w:sz w:val="20"/>
                <w:szCs w:val="20"/>
              </w:rPr>
            </w:pPr>
            <w:r w:rsidRPr="000D1EF3">
              <w:rPr>
                <w:rFonts w:asciiTheme="majorHAnsi" w:hAnsiTheme="majorHAnsi" w:cstheme="majorHAnsi"/>
                <w:b/>
                <w:sz w:val="20"/>
                <w:szCs w:val="20"/>
              </w:rPr>
              <w:t>Cuantumul (în EUR) sau procentul (în cazul ratelor forfetare) OCS</w:t>
            </w:r>
          </w:p>
        </w:tc>
      </w:tr>
      <w:tr w:rsidR="00C62A9B" w:rsidRPr="000D1EF3" w14:paraId="6A108C50" w14:textId="77777777">
        <w:trPr>
          <w:jc w:val="center"/>
        </w:trPr>
        <w:tc>
          <w:tcPr>
            <w:tcW w:w="1905" w:type="dxa"/>
            <w:vAlign w:val="center"/>
          </w:tcPr>
          <w:p w14:paraId="0000054C"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OS1 OS2</w:t>
            </w:r>
          </w:p>
        </w:tc>
        <w:tc>
          <w:tcPr>
            <w:tcW w:w="2175" w:type="dxa"/>
            <w:vAlign w:val="center"/>
          </w:tcPr>
          <w:p w14:paraId="0000054D"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Aprox. 5%</w:t>
            </w:r>
          </w:p>
        </w:tc>
        <w:tc>
          <w:tcPr>
            <w:tcW w:w="885" w:type="dxa"/>
            <w:shd w:val="clear" w:color="auto" w:fill="auto"/>
            <w:vAlign w:val="center"/>
          </w:tcPr>
          <w:p w14:paraId="0000054E"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N/A</w:t>
            </w:r>
          </w:p>
        </w:tc>
        <w:tc>
          <w:tcPr>
            <w:tcW w:w="690" w:type="dxa"/>
            <w:vAlign w:val="center"/>
          </w:tcPr>
          <w:p w14:paraId="0000054F"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N/A</w:t>
            </w:r>
          </w:p>
        </w:tc>
        <w:tc>
          <w:tcPr>
            <w:tcW w:w="1020" w:type="dxa"/>
            <w:shd w:val="clear" w:color="auto" w:fill="auto"/>
            <w:vAlign w:val="center"/>
          </w:tcPr>
          <w:p w14:paraId="00000550"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N/A</w:t>
            </w:r>
          </w:p>
        </w:tc>
        <w:tc>
          <w:tcPr>
            <w:tcW w:w="480" w:type="dxa"/>
            <w:vAlign w:val="center"/>
          </w:tcPr>
          <w:p w14:paraId="00000551"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N/A</w:t>
            </w:r>
          </w:p>
        </w:tc>
        <w:tc>
          <w:tcPr>
            <w:tcW w:w="1605" w:type="dxa"/>
            <w:shd w:val="clear" w:color="auto" w:fill="auto"/>
            <w:vAlign w:val="center"/>
          </w:tcPr>
          <w:p w14:paraId="00000552"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N/A</w:t>
            </w:r>
          </w:p>
        </w:tc>
        <w:tc>
          <w:tcPr>
            <w:tcW w:w="2070" w:type="dxa"/>
            <w:vAlign w:val="center"/>
          </w:tcPr>
          <w:p w14:paraId="00000553" w14:textId="77777777" w:rsidR="00C62A9B" w:rsidRPr="000D1EF3" w:rsidRDefault="00D11CD4">
            <w:pPr>
              <w:spacing w:after="120"/>
              <w:jc w:val="center"/>
              <w:rPr>
                <w:rFonts w:asciiTheme="majorHAnsi" w:hAnsiTheme="majorHAnsi" w:cstheme="majorHAnsi"/>
                <w:sz w:val="24"/>
                <w:szCs w:val="24"/>
              </w:rPr>
            </w:pPr>
            <w:r w:rsidRPr="000D1EF3">
              <w:rPr>
                <w:rFonts w:asciiTheme="majorHAnsi" w:hAnsiTheme="majorHAnsi" w:cstheme="majorHAnsi"/>
                <w:sz w:val="24"/>
                <w:szCs w:val="24"/>
              </w:rPr>
              <w:t>Rata forfetară</w:t>
            </w:r>
          </w:p>
        </w:tc>
        <w:tc>
          <w:tcPr>
            <w:tcW w:w="3660" w:type="dxa"/>
            <w:shd w:val="clear" w:color="auto" w:fill="auto"/>
            <w:vAlign w:val="center"/>
          </w:tcPr>
          <w:p w14:paraId="00000554" w14:textId="4D10C256"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7% - pentru proiectele cu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UE sub 200.000 euro</w:t>
            </w:r>
          </w:p>
          <w:p w14:paraId="00000555" w14:textId="65F6857F"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t>6% - pentru proiectele cu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UE între 200.000 – 1 mil euro</w:t>
            </w:r>
          </w:p>
          <w:p w14:paraId="00000556" w14:textId="7CF4BB15" w:rsidR="00C62A9B" w:rsidRPr="000D1EF3" w:rsidRDefault="00D11CD4">
            <w:pPr>
              <w:ind w:left="57" w:right="57"/>
              <w:rPr>
                <w:rFonts w:asciiTheme="majorHAnsi" w:hAnsiTheme="majorHAnsi" w:cstheme="majorHAnsi"/>
                <w:sz w:val="24"/>
                <w:szCs w:val="24"/>
              </w:rPr>
            </w:pPr>
            <w:r w:rsidRPr="000D1EF3">
              <w:rPr>
                <w:rFonts w:asciiTheme="majorHAnsi" w:hAnsiTheme="majorHAnsi" w:cstheme="majorHAnsi"/>
                <w:sz w:val="24"/>
                <w:szCs w:val="24"/>
              </w:rPr>
              <w:lastRenderedPageBreak/>
              <w:t>5% - pentru proiectele cu contribu</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UE peste 1 mil euro, dar nu mai mult de 200.000 euro</w:t>
            </w:r>
          </w:p>
        </w:tc>
      </w:tr>
    </w:tbl>
    <w:p w14:paraId="00000557" w14:textId="77777777" w:rsidR="00C62A9B" w:rsidRPr="000D1EF3" w:rsidRDefault="00C62A9B">
      <w:pPr>
        <w:spacing w:after="120" w:line="240" w:lineRule="auto"/>
        <w:jc w:val="center"/>
        <w:rPr>
          <w:rFonts w:asciiTheme="majorHAnsi" w:hAnsiTheme="majorHAnsi" w:cstheme="majorHAnsi"/>
          <w:sz w:val="24"/>
          <w:szCs w:val="24"/>
        </w:rPr>
        <w:sectPr w:rsidR="00C62A9B" w:rsidRPr="000D1EF3" w:rsidSect="003C17D4">
          <w:pgSz w:w="16840" w:h="11907" w:code="9"/>
          <w:pgMar w:top="1134" w:right="567" w:bottom="1134" w:left="567" w:header="567" w:footer="567" w:gutter="0"/>
          <w:cols w:space="720"/>
        </w:sectPr>
      </w:pPr>
    </w:p>
    <w:p w14:paraId="00000558" w14:textId="5CBCE04C" w:rsidR="00C62A9B" w:rsidRPr="000D1EF3" w:rsidRDefault="00D11CD4">
      <w:pPr>
        <w:pStyle w:val="Heading3"/>
        <w:rPr>
          <w:rFonts w:asciiTheme="majorHAnsi" w:hAnsiTheme="majorHAnsi" w:cstheme="majorHAnsi"/>
        </w:rPr>
      </w:pPr>
      <w:bookmarkStart w:id="45" w:name="_oavsnw3om4k" w:colFirst="0" w:colLast="0"/>
      <w:bookmarkStart w:id="46" w:name="_Toc78795690"/>
      <w:bookmarkEnd w:id="45"/>
      <w:r w:rsidRPr="000D1EF3">
        <w:rPr>
          <w:rFonts w:asciiTheme="majorHAnsi" w:eastAsia="Arial" w:hAnsiTheme="majorHAnsi" w:cstheme="majorHAnsi"/>
        </w:rPr>
        <w:lastRenderedPageBreak/>
        <w:t>B. Detalii pe tip de opera</w:t>
      </w:r>
      <w:r w:rsidR="00812FFF" w:rsidRPr="000D1EF3">
        <w:rPr>
          <w:rFonts w:asciiTheme="majorHAnsi" w:eastAsia="Arial" w:hAnsiTheme="majorHAnsi" w:cstheme="majorHAnsi"/>
        </w:rPr>
        <w:t>ț</w:t>
      </w:r>
      <w:r w:rsidRPr="000D1EF3">
        <w:rPr>
          <w:rFonts w:asciiTheme="majorHAnsi" w:eastAsia="Arial" w:hAnsiTheme="majorHAnsi" w:cstheme="majorHAnsi"/>
        </w:rPr>
        <w:t>iune (a se completa pentru fiecare tip de opera</w:t>
      </w:r>
      <w:r w:rsidR="00812FFF" w:rsidRPr="000D1EF3">
        <w:rPr>
          <w:rFonts w:asciiTheme="majorHAnsi" w:eastAsia="Arial" w:hAnsiTheme="majorHAnsi" w:cstheme="majorHAnsi"/>
        </w:rPr>
        <w:t>ț</w:t>
      </w:r>
      <w:r w:rsidRPr="000D1EF3">
        <w:rPr>
          <w:rFonts w:asciiTheme="majorHAnsi" w:eastAsia="Arial" w:hAnsiTheme="majorHAnsi" w:cstheme="majorHAnsi"/>
        </w:rPr>
        <w:t>iune)</w:t>
      </w:r>
      <w:bookmarkEnd w:id="46"/>
      <w:r w:rsidRPr="000D1EF3">
        <w:rPr>
          <w:rFonts w:asciiTheme="majorHAnsi" w:eastAsia="Arial" w:hAnsiTheme="majorHAnsi" w:cstheme="majorHAnsi"/>
        </w:rPr>
        <w:t xml:space="preserve"> </w:t>
      </w:r>
    </w:p>
    <w:p w14:paraId="00000559" w14:textId="77777777" w:rsidR="00C62A9B" w:rsidRPr="000D1EF3" w:rsidRDefault="00C62A9B">
      <w:pPr>
        <w:spacing w:after="0" w:line="240" w:lineRule="auto"/>
        <w:rPr>
          <w:rFonts w:asciiTheme="majorHAnsi" w:hAnsiTheme="majorHAnsi" w:cstheme="majorHAnsi"/>
          <w:b/>
          <w:sz w:val="24"/>
          <w:szCs w:val="24"/>
          <w:u w:val="single"/>
        </w:rPr>
      </w:pPr>
    </w:p>
    <w:p w14:paraId="0000055A" w14:textId="77B772F6" w:rsidR="00C62A9B" w:rsidRPr="000D1EF3" w:rsidRDefault="00D11CD4">
      <w:pPr>
        <w:spacing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Autoritatea de management a primit sprijin din partea unei societă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 externe pentru a stabili costurile simplificate de mai jos? </w:t>
      </w:r>
    </w:p>
    <w:p w14:paraId="0000055B" w14:textId="1F3C7904" w:rsidR="00C62A9B" w:rsidRPr="000D1EF3" w:rsidRDefault="00D11CD4">
      <w:pPr>
        <w:spacing w:after="0" w:line="240" w:lineRule="auto"/>
        <w:jc w:val="both"/>
        <w:rPr>
          <w:rFonts w:asciiTheme="majorHAnsi" w:hAnsiTheme="majorHAnsi" w:cstheme="majorHAnsi"/>
          <w:sz w:val="24"/>
          <w:szCs w:val="24"/>
        </w:rPr>
      </w:pPr>
      <w:r w:rsidRPr="000D1EF3">
        <w:rPr>
          <w:rFonts w:asciiTheme="majorHAnsi" w:hAnsiTheme="majorHAnsi" w:cstheme="majorHAnsi"/>
          <w:sz w:val="24"/>
          <w:szCs w:val="24"/>
        </w:rPr>
        <w:t>Dacă da, vă rugăm să preciza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denumirea societă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ii externe: </w:t>
      </w:r>
      <w:r w:rsidRPr="000D1EF3">
        <w:rPr>
          <w:rFonts w:asciiTheme="majorHAnsi" w:hAnsiTheme="majorHAnsi" w:cstheme="majorHAnsi"/>
          <w:sz w:val="24"/>
          <w:szCs w:val="24"/>
        </w:rPr>
        <w:tab/>
      </w:r>
      <w:r w:rsidRPr="000D1EF3">
        <w:rPr>
          <w:rFonts w:asciiTheme="majorHAnsi" w:hAnsiTheme="majorHAnsi" w:cstheme="majorHAnsi"/>
          <w:b/>
          <w:sz w:val="24"/>
          <w:szCs w:val="24"/>
        </w:rPr>
        <w:t xml:space="preserve">NU </w:t>
      </w:r>
    </w:p>
    <w:p w14:paraId="0000055C" w14:textId="77777777" w:rsidR="00C62A9B" w:rsidRPr="000D1EF3" w:rsidRDefault="00C62A9B">
      <w:pPr>
        <w:tabs>
          <w:tab w:val="center" w:pos="7535"/>
        </w:tabs>
        <w:spacing w:after="0" w:line="240" w:lineRule="auto"/>
        <w:ind w:left="57" w:right="57"/>
        <w:rPr>
          <w:rFonts w:asciiTheme="majorHAnsi" w:hAnsiTheme="majorHAnsi" w:cstheme="majorHAnsi"/>
          <w:sz w:val="24"/>
          <w:szCs w:val="24"/>
        </w:rPr>
      </w:pPr>
    </w:p>
    <w:tbl>
      <w:tblPr>
        <w:tblStyle w:val="af5"/>
        <w:tblW w:w="10348" w:type="dxa"/>
        <w:tblInd w:w="-5" w:type="dxa"/>
        <w:tblLayout w:type="fixed"/>
        <w:tblLook w:val="0400" w:firstRow="0" w:lastRow="0" w:firstColumn="0" w:lastColumn="0" w:noHBand="0" w:noVBand="1"/>
      </w:tblPr>
      <w:tblGrid>
        <w:gridCol w:w="5245"/>
        <w:gridCol w:w="5103"/>
      </w:tblGrid>
      <w:tr w:rsidR="00C62A9B" w:rsidRPr="000D1EF3" w14:paraId="17E3CB08" w14:textId="77777777" w:rsidTr="00A83083">
        <w:trPr>
          <w:trHeight w:val="119"/>
        </w:trPr>
        <w:tc>
          <w:tcPr>
            <w:tcW w:w="5245" w:type="dxa"/>
            <w:tcBorders>
              <w:top w:val="single" w:sz="4" w:space="0" w:color="000000"/>
              <w:left w:val="single" w:sz="4" w:space="0" w:color="000000"/>
              <w:bottom w:val="single" w:sz="4" w:space="0" w:color="000000"/>
              <w:right w:val="single" w:sz="4" w:space="0" w:color="000000"/>
            </w:tcBorders>
            <w:vAlign w:val="center"/>
          </w:tcPr>
          <w:p w14:paraId="0000055D" w14:textId="5AA17EB1" w:rsidR="00C62A9B" w:rsidRPr="000D1EF3" w:rsidRDefault="00D11CD4">
            <w:pPr>
              <w:ind w:left="57" w:right="57"/>
              <w:rPr>
                <w:rFonts w:asciiTheme="majorHAnsi" w:hAnsiTheme="majorHAnsi" w:cstheme="majorHAnsi"/>
              </w:rPr>
            </w:pPr>
            <w:r w:rsidRPr="000D1EF3">
              <w:rPr>
                <w:rFonts w:asciiTheme="majorHAnsi" w:hAnsiTheme="majorHAnsi" w:cstheme="majorHAnsi"/>
              </w:rPr>
              <w:t>1. Descrierea tipului de opera</w:t>
            </w:r>
            <w:r w:rsidR="00812FFF" w:rsidRPr="000D1EF3">
              <w:rPr>
                <w:rFonts w:asciiTheme="majorHAnsi" w:hAnsiTheme="majorHAnsi" w:cstheme="majorHAnsi"/>
              </w:rPr>
              <w:t>ț</w:t>
            </w:r>
            <w:r w:rsidRPr="000D1EF3">
              <w:rPr>
                <w:rFonts w:asciiTheme="majorHAnsi" w:hAnsiTheme="majorHAnsi" w:cstheme="majorHAnsi"/>
              </w:rPr>
              <w:t xml:space="preserve">iune, inclusiv calendarul de punere în aplicare*1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5E" w14:textId="38F2DC67" w:rsidR="00C62A9B" w:rsidRPr="000D1EF3" w:rsidRDefault="00D11CD4">
            <w:pPr>
              <w:ind w:left="57" w:right="57"/>
              <w:rPr>
                <w:rFonts w:asciiTheme="majorHAnsi" w:hAnsiTheme="majorHAnsi" w:cstheme="majorHAnsi"/>
              </w:rPr>
            </w:pPr>
            <w:r w:rsidRPr="000D1EF3">
              <w:rPr>
                <w:rFonts w:asciiTheme="majorHAnsi" w:hAnsiTheme="majorHAnsi" w:cstheme="majorHAnsi"/>
              </w:rPr>
              <w:t>Toate opera</w:t>
            </w:r>
            <w:r w:rsidR="00812FFF" w:rsidRPr="000D1EF3">
              <w:rPr>
                <w:rFonts w:asciiTheme="majorHAnsi" w:hAnsiTheme="majorHAnsi" w:cstheme="majorHAnsi"/>
              </w:rPr>
              <w:t>ț</w:t>
            </w:r>
            <w:r w:rsidRPr="000D1EF3">
              <w:rPr>
                <w:rFonts w:asciiTheme="majorHAnsi" w:hAnsiTheme="majorHAnsi" w:cstheme="majorHAnsi"/>
              </w:rPr>
              <w:t xml:space="preserve">iunile (proiectele) </w:t>
            </w:r>
          </w:p>
        </w:tc>
      </w:tr>
      <w:tr w:rsidR="00C62A9B" w:rsidRPr="000D1EF3" w14:paraId="18F0AFF3" w14:textId="77777777" w:rsidTr="00A83083">
        <w:trPr>
          <w:trHeight w:val="388"/>
        </w:trPr>
        <w:tc>
          <w:tcPr>
            <w:tcW w:w="5245" w:type="dxa"/>
            <w:tcBorders>
              <w:top w:val="single" w:sz="4" w:space="0" w:color="000000"/>
              <w:left w:val="single" w:sz="4" w:space="0" w:color="000000"/>
              <w:bottom w:val="single" w:sz="4" w:space="0" w:color="000000"/>
              <w:right w:val="single" w:sz="4" w:space="0" w:color="000000"/>
            </w:tcBorders>
            <w:vAlign w:val="center"/>
          </w:tcPr>
          <w:p w14:paraId="0000055F"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2. Obiectiv(e) specific(e)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60"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Toate</w:t>
            </w:r>
          </w:p>
        </w:tc>
      </w:tr>
      <w:tr w:rsidR="00C62A9B" w:rsidRPr="000D1EF3" w14:paraId="649AC009" w14:textId="77777777" w:rsidTr="00A83083">
        <w:trPr>
          <w:trHeight w:val="279"/>
        </w:trPr>
        <w:tc>
          <w:tcPr>
            <w:tcW w:w="5245" w:type="dxa"/>
            <w:tcBorders>
              <w:top w:val="single" w:sz="4" w:space="0" w:color="000000"/>
              <w:left w:val="single" w:sz="4" w:space="0" w:color="000000"/>
              <w:bottom w:val="single" w:sz="4" w:space="0" w:color="000000"/>
              <w:right w:val="single" w:sz="4" w:space="0" w:color="000000"/>
            </w:tcBorders>
            <w:vAlign w:val="center"/>
          </w:tcPr>
          <w:p w14:paraId="00000561"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3. Indicator care determină rambursarea*2</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62" w14:textId="4B45E508"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Costuri generale de administra</w:t>
            </w:r>
            <w:r w:rsidR="00812FFF" w:rsidRPr="000D1EF3">
              <w:rPr>
                <w:rFonts w:asciiTheme="majorHAnsi" w:hAnsiTheme="majorHAnsi" w:cstheme="majorHAnsi"/>
              </w:rPr>
              <w:t>ț</w:t>
            </w:r>
            <w:r w:rsidRPr="000D1EF3">
              <w:rPr>
                <w:rFonts w:asciiTheme="majorHAnsi" w:hAnsiTheme="majorHAnsi" w:cstheme="majorHAnsi"/>
              </w:rPr>
              <w:t xml:space="preserve">ie </w:t>
            </w:r>
          </w:p>
        </w:tc>
      </w:tr>
      <w:tr w:rsidR="00C62A9B" w:rsidRPr="000D1EF3" w14:paraId="1FC61368" w14:textId="77777777" w:rsidTr="00A83083">
        <w:trPr>
          <w:trHeight w:val="304"/>
        </w:trPr>
        <w:tc>
          <w:tcPr>
            <w:tcW w:w="5245" w:type="dxa"/>
            <w:tcBorders>
              <w:top w:val="single" w:sz="4" w:space="0" w:color="000000"/>
              <w:left w:val="single" w:sz="4" w:space="0" w:color="000000"/>
              <w:bottom w:val="single" w:sz="4" w:space="0" w:color="000000"/>
              <w:right w:val="single" w:sz="4" w:space="0" w:color="000000"/>
            </w:tcBorders>
            <w:vAlign w:val="center"/>
          </w:tcPr>
          <w:p w14:paraId="00000563"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4. Unitatea de măsură a indicatorului care determină rambursarea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64"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w:t>
            </w:r>
          </w:p>
        </w:tc>
      </w:tr>
      <w:tr w:rsidR="00C62A9B" w:rsidRPr="000D1EF3" w14:paraId="0CE3331C" w14:textId="77777777" w:rsidTr="00A83083">
        <w:trPr>
          <w:trHeight w:val="275"/>
        </w:trPr>
        <w:tc>
          <w:tcPr>
            <w:tcW w:w="5245" w:type="dxa"/>
            <w:tcBorders>
              <w:top w:val="single" w:sz="4" w:space="0" w:color="000000"/>
              <w:left w:val="single" w:sz="4" w:space="0" w:color="000000"/>
              <w:bottom w:val="single" w:sz="4" w:space="0" w:color="000000"/>
              <w:right w:val="single" w:sz="4" w:space="0" w:color="000000"/>
            </w:tcBorders>
            <w:vAlign w:val="center"/>
          </w:tcPr>
          <w:p w14:paraId="00000565"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5. Baremul standard de costuri unitare, sume forfetare sau rate forfetare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66"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rată forfetară</w:t>
            </w:r>
          </w:p>
        </w:tc>
      </w:tr>
      <w:tr w:rsidR="00C62A9B" w:rsidRPr="000D1EF3" w14:paraId="032C60BD" w14:textId="77777777" w:rsidTr="00A83083">
        <w:trPr>
          <w:trHeight w:val="1609"/>
        </w:trPr>
        <w:tc>
          <w:tcPr>
            <w:tcW w:w="5245" w:type="dxa"/>
            <w:tcBorders>
              <w:top w:val="single" w:sz="4" w:space="0" w:color="000000"/>
              <w:left w:val="single" w:sz="4" w:space="0" w:color="000000"/>
              <w:bottom w:val="single" w:sz="4" w:space="0" w:color="000000"/>
              <w:right w:val="single" w:sz="4" w:space="0" w:color="000000"/>
            </w:tcBorders>
            <w:vAlign w:val="center"/>
          </w:tcPr>
          <w:p w14:paraId="00000567"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6. Cuantumul OCS pe unitate de măsură sau procent (în cazul ratelor forfetare) </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00568" w14:textId="12BE886B" w:rsidR="00C62A9B" w:rsidRPr="000D1EF3" w:rsidRDefault="00D11CD4">
            <w:pPr>
              <w:ind w:left="57" w:right="57"/>
              <w:rPr>
                <w:rFonts w:asciiTheme="majorHAnsi" w:hAnsiTheme="majorHAnsi" w:cstheme="majorHAnsi"/>
              </w:rPr>
            </w:pPr>
            <w:r w:rsidRPr="000D1EF3">
              <w:rPr>
                <w:rFonts w:asciiTheme="majorHAnsi" w:hAnsiTheme="majorHAnsi" w:cstheme="majorHAnsi"/>
              </w:rPr>
              <w:t>7% - pentru proiectele cu contribu</w:t>
            </w:r>
            <w:r w:rsidR="00812FFF" w:rsidRPr="000D1EF3">
              <w:rPr>
                <w:rFonts w:asciiTheme="majorHAnsi" w:hAnsiTheme="majorHAnsi" w:cstheme="majorHAnsi"/>
              </w:rPr>
              <w:t>ț</w:t>
            </w:r>
            <w:r w:rsidRPr="000D1EF3">
              <w:rPr>
                <w:rFonts w:asciiTheme="majorHAnsi" w:hAnsiTheme="majorHAnsi" w:cstheme="majorHAnsi"/>
              </w:rPr>
              <w:t>ia UE este sub 200.000 euro</w:t>
            </w:r>
          </w:p>
          <w:p w14:paraId="00000569" w14:textId="11F1E1D4" w:rsidR="00C62A9B" w:rsidRPr="000D1EF3" w:rsidRDefault="00D11CD4">
            <w:pPr>
              <w:ind w:left="57" w:right="57"/>
              <w:rPr>
                <w:rFonts w:asciiTheme="majorHAnsi" w:hAnsiTheme="majorHAnsi" w:cstheme="majorHAnsi"/>
              </w:rPr>
            </w:pPr>
            <w:r w:rsidRPr="000D1EF3">
              <w:rPr>
                <w:rFonts w:asciiTheme="majorHAnsi" w:hAnsiTheme="majorHAnsi" w:cstheme="majorHAnsi"/>
              </w:rPr>
              <w:t>6% - pentru proiectele cu contribu</w:t>
            </w:r>
            <w:r w:rsidR="00812FFF" w:rsidRPr="000D1EF3">
              <w:rPr>
                <w:rFonts w:asciiTheme="majorHAnsi" w:hAnsiTheme="majorHAnsi" w:cstheme="majorHAnsi"/>
              </w:rPr>
              <w:t>ț</w:t>
            </w:r>
            <w:r w:rsidRPr="000D1EF3">
              <w:rPr>
                <w:rFonts w:asciiTheme="majorHAnsi" w:hAnsiTheme="majorHAnsi" w:cstheme="majorHAnsi"/>
              </w:rPr>
              <w:t>ia UE între 200.000 – 1 mil euro</w:t>
            </w:r>
          </w:p>
          <w:p w14:paraId="0000056A" w14:textId="1C186037" w:rsidR="00C62A9B" w:rsidRPr="000D1EF3" w:rsidRDefault="00D11CD4">
            <w:pPr>
              <w:ind w:left="57" w:right="57"/>
              <w:rPr>
                <w:rFonts w:asciiTheme="majorHAnsi" w:hAnsiTheme="majorHAnsi" w:cstheme="majorHAnsi"/>
              </w:rPr>
            </w:pPr>
            <w:r w:rsidRPr="000D1EF3">
              <w:rPr>
                <w:rFonts w:asciiTheme="majorHAnsi" w:hAnsiTheme="majorHAnsi" w:cstheme="majorHAnsi"/>
              </w:rPr>
              <w:t>5% - pentru proiectele cu contribu</w:t>
            </w:r>
            <w:r w:rsidR="00812FFF" w:rsidRPr="000D1EF3">
              <w:rPr>
                <w:rFonts w:asciiTheme="majorHAnsi" w:hAnsiTheme="majorHAnsi" w:cstheme="majorHAnsi"/>
              </w:rPr>
              <w:t>ț</w:t>
            </w:r>
            <w:r w:rsidRPr="000D1EF3">
              <w:rPr>
                <w:rFonts w:asciiTheme="majorHAnsi" w:hAnsiTheme="majorHAnsi" w:cstheme="majorHAnsi"/>
              </w:rPr>
              <w:t>ia UE peste 1 mil euro, dar nu mai mult de 200.000 euro</w:t>
            </w:r>
          </w:p>
        </w:tc>
      </w:tr>
      <w:tr w:rsidR="00C62A9B" w:rsidRPr="000D1EF3" w14:paraId="5887E28A" w14:textId="77777777" w:rsidTr="00A83083">
        <w:trPr>
          <w:trHeight w:val="706"/>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6B"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7. Categorii de costuri acoperite de costul unitar, de suma forfetară sau de rata forfetară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6C"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Costuri indirecte, inclusiv costurile salariale aferente personalului administrativ și de suport care asigură implementarea proiectul.</w:t>
            </w:r>
          </w:p>
          <w:p w14:paraId="0000056D" w14:textId="77777777" w:rsidR="00C62A9B" w:rsidRPr="000D1EF3" w:rsidRDefault="00C62A9B">
            <w:pPr>
              <w:ind w:left="57" w:right="57"/>
              <w:rPr>
                <w:rFonts w:asciiTheme="majorHAnsi" w:hAnsiTheme="majorHAnsi" w:cstheme="majorHAnsi"/>
              </w:rPr>
            </w:pPr>
          </w:p>
        </w:tc>
      </w:tr>
      <w:tr w:rsidR="00C62A9B" w:rsidRPr="000D1EF3" w14:paraId="700AA498" w14:textId="77777777" w:rsidTr="00A83083">
        <w:trPr>
          <w:trHeight w:val="63"/>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56E" w14:textId="3FE7349C" w:rsidR="00C62A9B" w:rsidRPr="000D1EF3" w:rsidRDefault="00D11CD4">
            <w:pPr>
              <w:ind w:left="57" w:right="57"/>
              <w:jc w:val="both"/>
              <w:rPr>
                <w:rFonts w:asciiTheme="majorHAnsi" w:hAnsiTheme="majorHAnsi" w:cstheme="majorHAnsi"/>
              </w:rPr>
            </w:pPr>
            <w:r w:rsidRPr="000D1EF3">
              <w:rPr>
                <w:rFonts w:asciiTheme="majorHAnsi" w:hAnsiTheme="majorHAnsi" w:cstheme="majorHAnsi"/>
              </w:rPr>
              <w:t>8. Aceste categorii de costuri acoperă totalitatea cheltuielilor eligibile pentru opera</w:t>
            </w:r>
            <w:r w:rsidR="00812FFF" w:rsidRPr="000D1EF3">
              <w:rPr>
                <w:rFonts w:asciiTheme="majorHAnsi" w:hAnsiTheme="majorHAnsi" w:cstheme="majorHAnsi"/>
              </w:rPr>
              <w:t>ț</w:t>
            </w:r>
            <w:r w:rsidRPr="000D1EF3">
              <w:rPr>
                <w:rFonts w:asciiTheme="majorHAnsi" w:hAnsiTheme="majorHAnsi" w:cstheme="majorHAnsi"/>
              </w:rPr>
              <w:t xml:space="preserve">iunea în cauză? (Da/Nu)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6F"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NU</w:t>
            </w:r>
          </w:p>
        </w:tc>
      </w:tr>
      <w:tr w:rsidR="00C62A9B" w:rsidRPr="000D1EF3" w14:paraId="6359519B" w14:textId="77777777" w:rsidTr="00A83083">
        <w:trPr>
          <w:trHeight w:val="112"/>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70"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9. Metoda de ajustare (ajustări)*3</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71"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N/A</w:t>
            </w:r>
          </w:p>
        </w:tc>
      </w:tr>
      <w:tr w:rsidR="00C62A9B" w:rsidRPr="000D1EF3" w14:paraId="749C80D8" w14:textId="77777777" w:rsidTr="00A83083">
        <w:trPr>
          <w:trHeight w:val="1397"/>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572" w14:textId="01C01A0B" w:rsidR="00C62A9B" w:rsidRPr="000D1EF3" w:rsidRDefault="00D11CD4">
            <w:pPr>
              <w:ind w:left="57" w:right="57"/>
              <w:rPr>
                <w:rFonts w:asciiTheme="majorHAnsi" w:hAnsiTheme="majorHAnsi" w:cstheme="majorHAnsi"/>
              </w:rPr>
            </w:pPr>
            <w:r w:rsidRPr="000D1EF3">
              <w:rPr>
                <w:rFonts w:asciiTheme="majorHAnsi" w:hAnsiTheme="majorHAnsi" w:cstheme="majorHAnsi"/>
              </w:rPr>
              <w:t>10. Verificarea realizării unită</w:t>
            </w:r>
            <w:r w:rsidR="00812FFF" w:rsidRPr="000D1EF3">
              <w:rPr>
                <w:rFonts w:asciiTheme="majorHAnsi" w:hAnsiTheme="majorHAnsi" w:cstheme="majorHAnsi"/>
              </w:rPr>
              <w:t>ț</w:t>
            </w:r>
            <w:r w:rsidRPr="000D1EF3">
              <w:rPr>
                <w:rFonts w:asciiTheme="majorHAnsi" w:hAnsiTheme="majorHAnsi" w:cstheme="majorHAnsi"/>
              </w:rPr>
              <w:t xml:space="preserve">ilor [livrate] </w:t>
            </w:r>
          </w:p>
          <w:p w14:paraId="00000573" w14:textId="0DC94F25" w:rsidR="00C62A9B" w:rsidRPr="000D1EF3" w:rsidRDefault="00D11CD4">
            <w:pPr>
              <w:ind w:right="57"/>
              <w:rPr>
                <w:rFonts w:asciiTheme="majorHAnsi" w:hAnsiTheme="majorHAnsi" w:cstheme="majorHAnsi"/>
              </w:rPr>
            </w:pPr>
            <w:r w:rsidRPr="000D1EF3">
              <w:rPr>
                <w:rFonts w:asciiTheme="majorHAnsi" w:hAnsiTheme="majorHAnsi" w:cstheme="majorHAnsi"/>
              </w:rPr>
              <w:t>-descrie</w:t>
            </w:r>
            <w:r w:rsidR="00812FFF" w:rsidRPr="000D1EF3">
              <w:rPr>
                <w:rFonts w:asciiTheme="majorHAnsi" w:hAnsiTheme="majorHAnsi" w:cstheme="majorHAnsi"/>
              </w:rPr>
              <w:t>ț</w:t>
            </w:r>
            <w:r w:rsidRPr="000D1EF3">
              <w:rPr>
                <w:rFonts w:asciiTheme="majorHAnsi" w:hAnsiTheme="majorHAnsi" w:cstheme="majorHAnsi"/>
              </w:rPr>
              <w:t>i ce document(e)/sistem va (vor) fi utilizat(e) pentru verificarea realizării unită</w:t>
            </w:r>
            <w:r w:rsidR="00812FFF" w:rsidRPr="000D1EF3">
              <w:rPr>
                <w:rFonts w:asciiTheme="majorHAnsi" w:hAnsiTheme="majorHAnsi" w:cstheme="majorHAnsi"/>
              </w:rPr>
              <w:t>ț</w:t>
            </w:r>
            <w:r w:rsidRPr="000D1EF3">
              <w:rPr>
                <w:rFonts w:asciiTheme="majorHAnsi" w:hAnsiTheme="majorHAnsi" w:cstheme="majorHAnsi"/>
              </w:rPr>
              <w:t xml:space="preserve">ilor livrate </w:t>
            </w:r>
          </w:p>
          <w:p w14:paraId="00000574" w14:textId="08E53BDE" w:rsidR="00C62A9B" w:rsidRPr="000D1EF3" w:rsidRDefault="00D11CD4">
            <w:pPr>
              <w:ind w:right="57"/>
              <w:rPr>
                <w:rFonts w:asciiTheme="majorHAnsi" w:hAnsiTheme="majorHAnsi" w:cstheme="majorHAnsi"/>
              </w:rPr>
            </w:pPr>
            <w:r w:rsidRPr="000D1EF3">
              <w:rPr>
                <w:rFonts w:asciiTheme="majorHAnsi" w:hAnsiTheme="majorHAnsi" w:cstheme="majorHAnsi"/>
              </w:rPr>
              <w:t>-descrie</w:t>
            </w:r>
            <w:r w:rsidR="00812FFF" w:rsidRPr="000D1EF3">
              <w:rPr>
                <w:rFonts w:asciiTheme="majorHAnsi" w:hAnsiTheme="majorHAnsi" w:cstheme="majorHAnsi"/>
              </w:rPr>
              <w:t>ț</w:t>
            </w:r>
            <w:r w:rsidRPr="000D1EF3">
              <w:rPr>
                <w:rFonts w:asciiTheme="majorHAnsi" w:hAnsiTheme="majorHAnsi" w:cstheme="majorHAnsi"/>
              </w:rPr>
              <w:t xml:space="preserve">i ce se va verifica în cursul controalelor de gestiune și de către cine </w:t>
            </w:r>
          </w:p>
          <w:p w14:paraId="00000575" w14:textId="7F5A0CF9" w:rsidR="00C62A9B" w:rsidRPr="000D1EF3" w:rsidRDefault="00D11CD4">
            <w:pPr>
              <w:ind w:right="57"/>
              <w:rPr>
                <w:rFonts w:asciiTheme="majorHAnsi" w:hAnsiTheme="majorHAnsi" w:cstheme="majorHAnsi"/>
              </w:rPr>
            </w:pPr>
            <w:r w:rsidRPr="000D1EF3">
              <w:rPr>
                <w:rFonts w:asciiTheme="majorHAnsi" w:hAnsiTheme="majorHAnsi" w:cstheme="majorHAnsi"/>
              </w:rPr>
              <w:t>-descrie</w:t>
            </w:r>
            <w:r w:rsidR="00812FFF" w:rsidRPr="000D1EF3">
              <w:rPr>
                <w:rFonts w:asciiTheme="majorHAnsi" w:hAnsiTheme="majorHAnsi" w:cstheme="majorHAnsi"/>
              </w:rPr>
              <w:t>ț</w:t>
            </w:r>
            <w:r w:rsidRPr="000D1EF3">
              <w:rPr>
                <w:rFonts w:asciiTheme="majorHAnsi" w:hAnsiTheme="majorHAnsi" w:cstheme="majorHAnsi"/>
              </w:rPr>
              <w:t>i care vor fi modalită</w:t>
            </w:r>
            <w:r w:rsidR="00812FFF" w:rsidRPr="000D1EF3">
              <w:rPr>
                <w:rFonts w:asciiTheme="majorHAnsi" w:hAnsiTheme="majorHAnsi" w:cstheme="majorHAnsi"/>
              </w:rPr>
              <w:t>ț</w:t>
            </w:r>
            <w:r w:rsidRPr="000D1EF3">
              <w:rPr>
                <w:rFonts w:asciiTheme="majorHAnsi" w:hAnsiTheme="majorHAnsi" w:cstheme="majorHAnsi"/>
              </w:rPr>
              <w:t>ile de colectare și stocare a datelor/documentelor relevante</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76" w14:textId="604727DD" w:rsidR="00C62A9B" w:rsidRPr="000D1EF3" w:rsidRDefault="00D11CD4">
            <w:pPr>
              <w:ind w:left="57" w:right="57"/>
              <w:rPr>
                <w:rFonts w:asciiTheme="majorHAnsi" w:hAnsiTheme="majorHAnsi" w:cstheme="majorHAnsi"/>
              </w:rPr>
            </w:pPr>
            <w:r w:rsidRPr="000D1EF3">
              <w:rPr>
                <w:rFonts w:asciiTheme="majorHAnsi" w:hAnsiTheme="majorHAnsi" w:cstheme="majorHAnsi"/>
              </w:rPr>
              <w:t>Rambursate în urma depunerii fiecărei cerere de rambursare;  nu sunt solicitate documente justificative pentru sumă. Nu sunt solicitate chitan</w:t>
            </w:r>
            <w:r w:rsidR="00812FFF" w:rsidRPr="000D1EF3">
              <w:rPr>
                <w:rFonts w:asciiTheme="majorHAnsi" w:hAnsiTheme="majorHAnsi" w:cstheme="majorHAnsi"/>
              </w:rPr>
              <w:t>ț</w:t>
            </w:r>
            <w:r w:rsidRPr="000D1EF3">
              <w:rPr>
                <w:rFonts w:asciiTheme="majorHAnsi" w:hAnsiTheme="majorHAnsi" w:cstheme="majorHAnsi"/>
              </w:rPr>
              <w:t>e / facturi.</w:t>
            </w:r>
          </w:p>
          <w:p w14:paraId="00000577" w14:textId="0A95C240" w:rsidR="00C62A9B" w:rsidRPr="000D1EF3" w:rsidRDefault="00D11CD4">
            <w:pPr>
              <w:ind w:left="57" w:right="57"/>
              <w:rPr>
                <w:rFonts w:asciiTheme="majorHAnsi" w:hAnsiTheme="majorHAnsi" w:cstheme="majorHAnsi"/>
              </w:rPr>
            </w:pPr>
            <w:r w:rsidRPr="000D1EF3">
              <w:rPr>
                <w:rFonts w:asciiTheme="majorHAnsi" w:hAnsiTheme="majorHAnsi" w:cstheme="majorHAnsi"/>
              </w:rPr>
              <w:t>Chitan</w:t>
            </w:r>
            <w:r w:rsidR="00812FFF" w:rsidRPr="000D1EF3">
              <w:rPr>
                <w:rFonts w:asciiTheme="majorHAnsi" w:hAnsiTheme="majorHAnsi" w:cstheme="majorHAnsi"/>
              </w:rPr>
              <w:t>ț</w:t>
            </w:r>
            <w:r w:rsidRPr="000D1EF3">
              <w:rPr>
                <w:rFonts w:asciiTheme="majorHAnsi" w:hAnsiTheme="majorHAnsi" w:cstheme="majorHAnsi"/>
              </w:rPr>
              <w:t>ele / facturile trebuie păstrate în contabilitatea beneficiarului.</w:t>
            </w:r>
          </w:p>
        </w:tc>
      </w:tr>
      <w:tr w:rsidR="00C62A9B" w:rsidRPr="000D1EF3" w14:paraId="3307E0FF" w14:textId="77777777" w:rsidTr="00092579">
        <w:trPr>
          <w:trHeight w:val="234"/>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578"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11. Posibile stimulente neloiale, măsuri de atenuare*4 și nivelul de risc estimat (ridicat/mediu/scăzut)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79"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Risc scăzut</w:t>
            </w:r>
          </w:p>
        </w:tc>
      </w:tr>
      <w:tr w:rsidR="00C62A9B" w:rsidRPr="000D1EF3" w14:paraId="504F5A4C" w14:textId="77777777" w:rsidTr="00A83083">
        <w:trPr>
          <w:trHeight w:val="595"/>
        </w:trPr>
        <w:tc>
          <w:tcPr>
            <w:tcW w:w="5245"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57A" w14:textId="617129B2" w:rsidR="00C62A9B" w:rsidRPr="000D1EF3" w:rsidRDefault="00D11CD4">
            <w:pPr>
              <w:ind w:left="57" w:right="57"/>
              <w:rPr>
                <w:rFonts w:asciiTheme="majorHAnsi" w:hAnsiTheme="majorHAnsi" w:cstheme="majorHAnsi"/>
              </w:rPr>
            </w:pPr>
            <w:r w:rsidRPr="000D1EF3">
              <w:rPr>
                <w:rFonts w:asciiTheme="majorHAnsi" w:hAnsiTheme="majorHAnsi" w:cstheme="majorHAnsi"/>
              </w:rPr>
              <w:t>12. Cuantumul total (na</w:t>
            </w:r>
            <w:r w:rsidR="00812FFF" w:rsidRPr="000D1EF3">
              <w:rPr>
                <w:rFonts w:asciiTheme="majorHAnsi" w:hAnsiTheme="majorHAnsi" w:cstheme="majorHAnsi"/>
              </w:rPr>
              <w:t>ț</w:t>
            </w:r>
            <w:r w:rsidRPr="000D1EF3">
              <w:rPr>
                <w:rFonts w:asciiTheme="majorHAnsi" w:hAnsiTheme="majorHAnsi" w:cstheme="majorHAnsi"/>
              </w:rPr>
              <w:t xml:space="preserve">ional și în Uniune) care se preconizează a fi rambursat de către Comisie pe această bază </w:t>
            </w:r>
          </w:p>
        </w:tc>
        <w:tc>
          <w:tcPr>
            <w:tcW w:w="5103"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57B" w14:textId="77777777" w:rsidR="00C62A9B" w:rsidRPr="000D1EF3" w:rsidRDefault="00D11CD4">
            <w:pPr>
              <w:ind w:left="57" w:right="57"/>
              <w:rPr>
                <w:rFonts w:asciiTheme="majorHAnsi" w:hAnsiTheme="majorHAnsi" w:cstheme="majorHAnsi"/>
              </w:rPr>
            </w:pPr>
            <w:r w:rsidRPr="000D1EF3">
              <w:rPr>
                <w:rFonts w:asciiTheme="majorHAnsi" w:hAnsiTheme="majorHAnsi" w:cstheme="majorHAnsi"/>
              </w:rPr>
              <w:t xml:space="preserve">  7.300.000 EUR</w:t>
            </w:r>
          </w:p>
        </w:tc>
      </w:tr>
    </w:tbl>
    <w:p w14:paraId="0000057D" w14:textId="11A15846" w:rsidR="00C62A9B" w:rsidRPr="000D1EF3" w:rsidRDefault="00D11CD4">
      <w:pPr>
        <w:spacing w:after="0" w:line="240" w:lineRule="auto"/>
        <w:jc w:val="both"/>
        <w:rPr>
          <w:rFonts w:asciiTheme="majorHAnsi" w:hAnsiTheme="majorHAnsi" w:cstheme="majorHAnsi"/>
          <w:i/>
          <w:sz w:val="20"/>
          <w:szCs w:val="20"/>
        </w:rPr>
      </w:pPr>
      <w:r w:rsidRPr="000D1EF3">
        <w:rPr>
          <w:rFonts w:asciiTheme="majorHAnsi" w:hAnsiTheme="majorHAnsi" w:cstheme="majorHAnsi"/>
          <w:i/>
          <w:sz w:val="20"/>
          <w:szCs w:val="20"/>
        </w:rPr>
        <w:t>*1 Data preconizată pentru începerea selectării opera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iunilor și data finală preconizată pentru finalizarea acestora [referin</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ă: articolul 63 alineatul (5) din RDC].</w:t>
      </w:r>
    </w:p>
    <w:p w14:paraId="0000057E" w14:textId="7583F454" w:rsidR="00C62A9B" w:rsidRPr="000D1EF3" w:rsidRDefault="00D11CD4">
      <w:pPr>
        <w:spacing w:after="0" w:line="240" w:lineRule="auto"/>
        <w:jc w:val="both"/>
        <w:rPr>
          <w:rFonts w:asciiTheme="majorHAnsi" w:hAnsiTheme="majorHAnsi" w:cstheme="majorHAnsi"/>
          <w:i/>
          <w:sz w:val="20"/>
          <w:szCs w:val="20"/>
        </w:rPr>
      </w:pPr>
      <w:r w:rsidRPr="000D1EF3">
        <w:rPr>
          <w:rFonts w:asciiTheme="majorHAnsi" w:hAnsiTheme="majorHAnsi" w:cstheme="majorHAnsi"/>
          <w:i/>
          <w:sz w:val="20"/>
          <w:szCs w:val="20"/>
        </w:rPr>
        <w:t>*2 În cazul opera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iunilor care cuprind mai multe op</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iuni de costuri simplificate care acoperă categorii de costuri diferite, proiecte diferite sau faze succesive ale unei opera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iuni, câmpurile 3-11 se completează pentru fiecare indicator care determină rambursarea.</w:t>
      </w:r>
    </w:p>
    <w:p w14:paraId="0000057F" w14:textId="5058D8C1" w:rsidR="00C62A9B" w:rsidRPr="000D1EF3" w:rsidRDefault="00D11CD4">
      <w:pPr>
        <w:spacing w:after="0" w:line="240" w:lineRule="auto"/>
        <w:jc w:val="both"/>
        <w:rPr>
          <w:rFonts w:asciiTheme="majorHAnsi" w:hAnsiTheme="majorHAnsi" w:cstheme="majorHAnsi"/>
          <w:i/>
          <w:sz w:val="20"/>
          <w:szCs w:val="20"/>
        </w:rPr>
      </w:pPr>
      <w:r w:rsidRPr="000D1EF3">
        <w:rPr>
          <w:rFonts w:asciiTheme="majorHAnsi" w:hAnsiTheme="majorHAnsi" w:cstheme="majorHAnsi"/>
          <w:i/>
          <w:sz w:val="20"/>
          <w:szCs w:val="20"/>
        </w:rPr>
        <w:t>*3 Dacă este cazul, indica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 frecven</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a și calendarul ajustării, precum și o trimitere clară la un indicator specific (inclusiv un link către site-ul internet unde este publicat acest indicator, dacă este cazul).</w:t>
      </w:r>
    </w:p>
    <w:p w14:paraId="00000580" w14:textId="2F8A01FF" w:rsidR="00C62A9B" w:rsidRPr="000D1EF3" w:rsidRDefault="00D11CD4">
      <w:pPr>
        <w:spacing w:after="0" w:line="240" w:lineRule="auto"/>
        <w:jc w:val="both"/>
        <w:rPr>
          <w:rFonts w:asciiTheme="majorHAnsi" w:hAnsiTheme="majorHAnsi" w:cstheme="majorHAnsi"/>
          <w:i/>
          <w:sz w:val="20"/>
          <w:szCs w:val="20"/>
        </w:rPr>
      </w:pPr>
      <w:r w:rsidRPr="000D1EF3">
        <w:rPr>
          <w:rFonts w:asciiTheme="majorHAnsi" w:hAnsiTheme="majorHAnsi" w:cstheme="majorHAnsi"/>
          <w:i/>
          <w:sz w:val="20"/>
          <w:szCs w:val="20"/>
        </w:rPr>
        <w:t>*4 Există eventuale implica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ii negative asupra calită</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ii opera</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iunilor sprijinite și, dacă da, ce măsuri (de exemplu asigurarea calită</w:t>
      </w:r>
      <w:r w:rsidR="00812FFF" w:rsidRPr="000D1EF3">
        <w:rPr>
          <w:rFonts w:asciiTheme="majorHAnsi" w:hAnsiTheme="majorHAnsi" w:cstheme="majorHAnsi"/>
          <w:i/>
          <w:sz w:val="20"/>
          <w:szCs w:val="20"/>
        </w:rPr>
        <w:t>ț</w:t>
      </w:r>
      <w:r w:rsidRPr="000D1EF3">
        <w:rPr>
          <w:rFonts w:asciiTheme="majorHAnsi" w:hAnsiTheme="majorHAnsi" w:cstheme="majorHAnsi"/>
          <w:i/>
          <w:sz w:val="20"/>
          <w:szCs w:val="20"/>
        </w:rPr>
        <w:t>ii) vor fi luate pentru a contracara acest risc?</w:t>
      </w:r>
    </w:p>
    <w:p w14:paraId="00000581" w14:textId="77777777" w:rsidR="00C62A9B" w:rsidRPr="000D1EF3" w:rsidRDefault="00D11CD4">
      <w:pPr>
        <w:pStyle w:val="Heading3"/>
        <w:spacing w:after="120" w:line="240" w:lineRule="auto"/>
        <w:rPr>
          <w:rFonts w:asciiTheme="majorHAnsi" w:hAnsiTheme="majorHAnsi" w:cstheme="majorHAnsi"/>
        </w:rPr>
      </w:pPr>
      <w:bookmarkStart w:id="47" w:name="_Toc78795691"/>
      <w:r w:rsidRPr="000D1EF3">
        <w:rPr>
          <w:rFonts w:asciiTheme="majorHAnsi" w:hAnsiTheme="majorHAnsi" w:cstheme="majorHAnsi"/>
        </w:rPr>
        <w:lastRenderedPageBreak/>
        <w:t>C: Calculul baremului standard pentru costurile unitare, sumele forfetare sau ratele forfetare</w:t>
      </w:r>
      <w:bookmarkEnd w:id="47"/>
    </w:p>
    <w:p w14:paraId="00000582" w14:textId="77777777"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1.Sursa datelor utilizate la calculul baremului standard pentru costurile unitare, sumele forfetare sau ratele forfetare (cine a produs, colectat și înregistrat datele; unde sunt stocate datele; datele-limită; validare etc.)</w:t>
      </w:r>
    </w:p>
    <w:p w14:paraId="00000583" w14:textId="08F7FF30" w:rsidR="00C62A9B" w:rsidRPr="000D1EF3" w:rsidRDefault="00D11CD4">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 xml:space="preserve">   Potrivit art. 54 RDC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are la rate forfetare pentru costurile indirecte în cadrul granturilor - Atunci când se utilizează o rată forfetară pentru a acoperi costurile indirecte ale unei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iuni, la baza acesteia poate sta unul dintre următoarele elemente: </w:t>
      </w:r>
    </w:p>
    <w:p w14:paraId="00000584" w14:textId="4B5829DB" w:rsidR="00C62A9B" w:rsidRPr="000D1EF3" w:rsidRDefault="00D11CD4">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a)maximum 7 % din costurile directe eligibile, caz în care statul membru nu are obliga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ia de a efectua un calcul pentru a stabili rata aplicabilă</w:t>
      </w:r>
    </w:p>
    <w:p w14:paraId="00000585" w14:textId="18E87B57" w:rsidR="00C62A9B" w:rsidRPr="000D1EF3" w:rsidRDefault="00D11CD4">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Pentru stabilirea  forfetare, au fost avute în vedere datele istorice colectate și înregistrare privind perioada 2014-2020, precum și prevederile similare privind rata maximă practicată în cadrul proiectelor finan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 xml:space="preserve">ate din programele afaceri interne 2007-2013 și 2014-2020. </w:t>
      </w:r>
    </w:p>
    <w:p w14:paraId="00000586" w14:textId="77777777" w:rsidR="00C62A9B" w:rsidRPr="000D1EF3" w:rsidRDefault="00C62A9B">
      <w:pPr>
        <w:spacing w:after="0" w:line="240" w:lineRule="auto"/>
        <w:ind w:left="57" w:right="57"/>
        <w:rPr>
          <w:rFonts w:asciiTheme="majorHAnsi" w:hAnsiTheme="majorHAnsi" w:cstheme="majorHAnsi"/>
          <w:sz w:val="24"/>
          <w:szCs w:val="24"/>
        </w:rPr>
      </w:pPr>
    </w:p>
    <w:p w14:paraId="00000587" w14:textId="674BA54C"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2. Vă rugăm să preciza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motivele pentru care metoda propusă și calculul pe baza articolului 94 alineatul (2) din RDC sunt relevante pentru tipul de opera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iune.</w:t>
      </w:r>
    </w:p>
    <w:p w14:paraId="00000588" w14:textId="77777777" w:rsidR="00C62A9B" w:rsidRPr="000D1EF3" w:rsidRDefault="00D11CD4">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nu e cazul</w:t>
      </w:r>
    </w:p>
    <w:p w14:paraId="00000589" w14:textId="6FE050B7"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3. Vă rugăm să preciza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cum au fost efectuate calculele, inclusiv, în special, ipotezele formulate în ceea ce privește calitatea sau cantită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După caz, trebuie utilizate date statistice și criterii de referin</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ă și, dacă se solicită acest lucru, acestea trebuie furnizate într-un format utilizabil de către Comisie.</w:t>
      </w:r>
    </w:p>
    <w:p w14:paraId="0000058A" w14:textId="77777777" w:rsidR="00C62A9B" w:rsidRPr="000D1EF3" w:rsidRDefault="00D11CD4">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nu e cazul</w:t>
      </w:r>
    </w:p>
    <w:p w14:paraId="0000058B" w14:textId="48F9859C"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4. Vă rugăm să explica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cum v-a</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 asigurat că doar cheltuielile eligibile au fost incluse în calculul baremului standard pentru costurile unitare, sumele forfetare sau ratele forfetare.</w:t>
      </w:r>
    </w:p>
    <w:p w14:paraId="0000058C" w14:textId="77777777" w:rsidR="00C62A9B" w:rsidRPr="000D1EF3" w:rsidRDefault="00D11CD4">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nu e cazul</w:t>
      </w:r>
      <w:r w:rsidRPr="000D1EF3">
        <w:rPr>
          <w:rFonts w:asciiTheme="majorHAnsi" w:hAnsiTheme="majorHAnsi" w:cstheme="majorHAnsi"/>
          <w:sz w:val="24"/>
          <w:szCs w:val="24"/>
        </w:rPr>
        <w:tab/>
      </w:r>
    </w:p>
    <w:p w14:paraId="0000058D" w14:textId="48BDD7AF" w:rsidR="00C62A9B" w:rsidRPr="000D1EF3" w:rsidRDefault="00D11CD4">
      <w:pP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5. Evaluarea de către autoritatea sau autorită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audit a metodologiei de calcul și a cuantumurilor, precum și modalită</w:t>
      </w:r>
      <w:r w:rsidR="00812FFF" w:rsidRPr="000D1EF3">
        <w:rPr>
          <w:rFonts w:asciiTheme="majorHAnsi" w:hAnsiTheme="majorHAnsi" w:cstheme="majorHAnsi"/>
          <w:sz w:val="24"/>
          <w:szCs w:val="24"/>
        </w:rPr>
        <w:t>ț</w:t>
      </w:r>
      <w:r w:rsidRPr="000D1EF3">
        <w:rPr>
          <w:rFonts w:asciiTheme="majorHAnsi" w:hAnsiTheme="majorHAnsi" w:cstheme="majorHAnsi"/>
          <w:sz w:val="24"/>
          <w:szCs w:val="24"/>
        </w:rPr>
        <w:t>ile de a asigura verificarea, calitatea, colectarea și stocarea datelor</w:t>
      </w:r>
    </w:p>
    <w:p w14:paraId="0000058E" w14:textId="77777777" w:rsidR="00C62A9B" w:rsidRPr="000D1EF3" w:rsidRDefault="00D11CD4">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sz w:val="24"/>
          <w:szCs w:val="24"/>
        </w:rPr>
      </w:pPr>
      <w:r w:rsidRPr="000D1EF3">
        <w:rPr>
          <w:rFonts w:asciiTheme="majorHAnsi" w:hAnsiTheme="majorHAnsi" w:cstheme="majorHAnsi"/>
          <w:sz w:val="24"/>
          <w:szCs w:val="24"/>
        </w:rPr>
        <w:t>nu e cazul</w:t>
      </w:r>
    </w:p>
    <w:p w14:paraId="0000058F" w14:textId="77777777" w:rsidR="00C62A9B" w:rsidRPr="000D1EF3" w:rsidRDefault="00C62A9B">
      <w:pPr>
        <w:spacing w:after="120" w:line="240" w:lineRule="auto"/>
        <w:jc w:val="both"/>
        <w:rPr>
          <w:rFonts w:asciiTheme="majorHAnsi" w:hAnsiTheme="majorHAnsi" w:cstheme="majorHAnsi"/>
          <w:sz w:val="24"/>
          <w:szCs w:val="24"/>
        </w:rPr>
      </w:pPr>
    </w:p>
    <w:sectPr w:rsidR="00C62A9B" w:rsidRPr="000D1EF3" w:rsidSect="00812FFF">
      <w:headerReference w:type="even" r:id="rId24"/>
      <w:headerReference w:type="default" r:id="rId25"/>
      <w:footerReference w:type="even" r:id="rId26"/>
      <w:footerReference w:type="default" r:id="rId27"/>
      <w:headerReference w:type="first" r:id="rId28"/>
      <w:footerReference w:type="first" r:id="rId29"/>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C95E" w14:textId="77777777" w:rsidR="00F810EF" w:rsidRDefault="00F810EF">
      <w:pPr>
        <w:spacing w:after="0" w:line="240" w:lineRule="auto"/>
      </w:pPr>
      <w:r>
        <w:separator/>
      </w:r>
    </w:p>
  </w:endnote>
  <w:endnote w:type="continuationSeparator" w:id="0">
    <w:p w14:paraId="338012CC" w14:textId="77777777" w:rsidR="00F810EF" w:rsidRDefault="00F8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A" w14:textId="77777777" w:rsidR="00C62A9B" w:rsidRDefault="00C62A9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7AAA" w14:textId="77777777" w:rsidR="00812FFF" w:rsidRDefault="00812FFF" w:rsidP="00812FFF">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p>
  <w:p w14:paraId="0000059F" w14:textId="40379A7D" w:rsidR="00C62A9B" w:rsidRDefault="00D11CD4" w:rsidP="00812FFF">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31902">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B" w14:textId="77777777" w:rsidR="00C62A9B" w:rsidRDefault="00D11CD4">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sidR="00F810EF">
      <w:rPr>
        <w:color w:val="000000"/>
      </w:rPr>
      <w:fldChar w:fldCharType="separate"/>
    </w:r>
    <w:r>
      <w:rPr>
        <w:color w:val="000000"/>
      </w:rPr>
      <w:fldChar w:fldCharType="end"/>
    </w:r>
  </w:p>
  <w:p w14:paraId="0000059C" w14:textId="77777777" w:rsidR="00C62A9B" w:rsidRDefault="00C62A9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0" w14:textId="77777777" w:rsidR="00C62A9B" w:rsidRDefault="00C62A9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1" w14:textId="7525CCF7" w:rsidR="00C62A9B" w:rsidRDefault="00D11CD4">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sidR="00731902">
      <w:rPr>
        <w:noProof/>
        <w:color w:val="000000"/>
      </w:rPr>
      <w:t>14</w:t>
    </w:r>
    <w:r>
      <w:rPr>
        <w:color w:val="000000"/>
      </w:rPr>
      <w:fldChar w:fldCharType="end"/>
    </w:r>
  </w:p>
  <w:p w14:paraId="000005A2" w14:textId="77777777" w:rsidR="00C62A9B" w:rsidRDefault="00C62A9B">
    <w:pPr>
      <w:widowControl w:val="0"/>
      <w:pBdr>
        <w:top w:val="nil"/>
        <w:left w:val="nil"/>
        <w:bottom w:val="nil"/>
        <w:right w:val="nil"/>
        <w:between w:val="nil"/>
      </w:pBdr>
      <w:spacing w:after="0"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9" w14:textId="77777777" w:rsidR="00C62A9B" w:rsidRDefault="00C62A9B">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B7C5" w14:textId="77777777" w:rsidR="00F810EF" w:rsidRDefault="00F810EF">
      <w:pPr>
        <w:spacing w:after="0" w:line="240" w:lineRule="auto"/>
      </w:pPr>
      <w:r>
        <w:separator/>
      </w:r>
    </w:p>
  </w:footnote>
  <w:footnote w:type="continuationSeparator" w:id="0">
    <w:p w14:paraId="411A933F" w14:textId="77777777" w:rsidR="00F810EF" w:rsidRDefault="00F8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4" w14:textId="77777777" w:rsidR="00C62A9B" w:rsidRDefault="00D11CD4">
    <w:pPr>
      <w:pBdr>
        <w:top w:val="nil"/>
        <w:left w:val="nil"/>
        <w:bottom w:val="nil"/>
        <w:right w:val="nil"/>
        <w:between w:val="nil"/>
      </w:pBdr>
      <w:tabs>
        <w:tab w:val="center" w:pos="4535"/>
        <w:tab w:val="right" w:pos="9071"/>
      </w:tabs>
      <w:rPr>
        <w:color w:val="000000"/>
      </w:rPr>
    </w:pPr>
    <w:r>
      <w:rPr>
        <w:noProof/>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8660899" cy="8660899"/>
              <wp:effectExtent l="0" t="0" r="0" b="0"/>
              <wp:wrapNone/>
              <wp:docPr id="4" name="Dreptunghi 4"/>
              <wp:cNvGraphicFramePr/>
              <a:graphic xmlns:a="http://schemas.openxmlformats.org/drawingml/2006/main">
                <a:graphicData uri="http://schemas.microsoft.com/office/word/2010/wordprocessingShape">
                  <wps:wsp>
                    <wps:cNvSpPr/>
                    <wps:spPr>
                      <a:xfrm rot="-2700000">
                        <a:off x="2264345" y="2547465"/>
                        <a:ext cx="6163310" cy="2465070"/>
                      </a:xfrm>
                      <a:prstGeom prst="rect">
                        <a:avLst/>
                      </a:prstGeom>
                      <a:noFill/>
                      <a:ln>
                        <a:noFill/>
                      </a:ln>
                    </wps:spPr>
                    <wps:txbx>
                      <w:txbxContent>
                        <w:p w14:paraId="21239549"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wps:txbx>
                    <wps:bodyPr spcFirstLastPara="1" wrap="square" lIns="91425" tIns="91425" rIns="91425" bIns="91425" anchor="ctr" anchorCtr="0">
                      <a:noAutofit/>
                    </wps:bodyPr>
                  </wps:wsp>
                </a:graphicData>
              </a:graphic>
            </wp:anchor>
          </w:drawing>
        </mc:Choice>
        <mc:Fallback>
          <w:pict>
            <v:rect id="Dreptunghi 4" o:spid="_x0000_s1026" style="position:absolute;margin-left:0;margin-top:0;width:681.95pt;height:681.95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" filled="f" stroked="f">
              <v:textbox inset="2.53958mm,2.53958mm,2.53958mm,2.53958mm">
                <w:txbxContent>
                  <w:p w14:paraId="21239549"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2" w14:textId="6A36C3BD" w:rsidR="00C62A9B" w:rsidRDefault="00D11CD4">
    <w:pPr>
      <w:spacing w:after="0"/>
      <w:rPr>
        <w:sz w:val="18"/>
        <w:szCs w:val="18"/>
      </w:rPr>
    </w:pPr>
    <w:r>
      <w:rPr>
        <w:sz w:val="18"/>
        <w:szCs w:val="18"/>
      </w:rPr>
      <w:t xml:space="preserve">PROGRAMUL NAȚIONAL </w:t>
    </w:r>
    <w:r w:rsidR="006C49D1">
      <w:rPr>
        <w:sz w:val="18"/>
        <w:szCs w:val="18"/>
      </w:rPr>
      <w:t xml:space="preserve">221-2027 </w:t>
    </w:r>
    <w:r w:rsidR="006C49D1" w:rsidRPr="006C49D1">
      <w:rPr>
        <w:sz w:val="18"/>
        <w:szCs w:val="18"/>
      </w:rPr>
      <w:t>INSTRUMENTUL PENTRU MANAGEMENTUL FRONTIERELOR ȘI POLITICA DE VIZE</w:t>
    </w:r>
    <w:r w:rsidR="006C49D1">
      <w:rPr>
        <w:sz w:val="18"/>
        <w:szCs w:val="18"/>
      </w:rPr>
      <w:t xml:space="preserve"> - draft 2</w:t>
    </w:r>
  </w:p>
  <w:p w14:paraId="00000593" w14:textId="77777777" w:rsidR="00C62A9B" w:rsidRDefault="00C62A9B">
    <w:pPr>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5" w14:textId="77777777" w:rsidR="00C62A9B" w:rsidRDefault="00D11CD4">
    <w:pPr>
      <w:pBdr>
        <w:top w:val="nil"/>
        <w:left w:val="nil"/>
        <w:bottom w:val="nil"/>
        <w:right w:val="nil"/>
        <w:between w:val="nil"/>
      </w:pBdr>
      <w:tabs>
        <w:tab w:val="center" w:pos="7285"/>
        <w:tab w:val="right" w:pos="14003"/>
      </w:tabs>
      <w:rPr>
        <w:color w:val="000000"/>
      </w:rPr>
    </w:pPr>
    <w:r>
      <w:rPr>
        <w:noProof/>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8660899" cy="8660899"/>
              <wp:effectExtent l="0" t="0" r="0" b="0"/>
              <wp:wrapNone/>
              <wp:docPr id="1" name="Dreptunghi 1"/>
              <wp:cNvGraphicFramePr/>
              <a:graphic xmlns:a="http://schemas.openxmlformats.org/drawingml/2006/main">
                <a:graphicData uri="http://schemas.microsoft.com/office/word/2010/wordprocessingShape">
                  <wps:wsp>
                    <wps:cNvSpPr/>
                    <wps:spPr>
                      <a:xfrm rot="-2700000">
                        <a:off x="2264345" y="2547465"/>
                        <a:ext cx="6163310" cy="2465070"/>
                      </a:xfrm>
                      <a:prstGeom prst="rect">
                        <a:avLst/>
                      </a:prstGeom>
                      <a:noFill/>
                      <a:ln>
                        <a:noFill/>
                      </a:ln>
                    </wps:spPr>
                    <wps:txbx>
                      <w:txbxContent>
                        <w:p w14:paraId="1BEA0AC4"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wps:txbx>
                    <wps:bodyPr spcFirstLastPara="1" wrap="square" lIns="91425" tIns="91425" rIns="91425" bIns="91425" anchor="ctr" anchorCtr="0">
                      <a:noAutofit/>
                    </wps:bodyPr>
                  </wps:wsp>
                </a:graphicData>
              </a:graphic>
            </wp:anchor>
          </w:drawing>
        </mc:Choice>
        <mc:Fallback>
          <w:pict>
            <v:rect id="Dreptunghi 1" o:spid="_x0000_s1027" style="position:absolute;margin-left:0;margin-top:0;width:681.95pt;height:681.9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" filled="f" stroked="f">
              <v:textbox inset="2.53958mm,2.53958mm,2.53958mm,2.53958mm">
                <w:txbxContent>
                  <w:p w14:paraId="1BEA0AC4"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v:textbox>
              <w10:wrap anchorx="margin" anchory="margin"/>
            </v:rect>
          </w:pict>
        </mc:Fallback>
      </mc:AlternateContent>
    </w:r>
    <w:r>
      <w:t>PROGRAMUL NAȚIONAL PENTRU FONDUL AZIL, MIGRAȚIE ȘI INTEGRARE - Draft1 – 28.10.2020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6" w14:textId="77777777" w:rsidR="00C62A9B" w:rsidRDefault="00D11CD4">
    <w:pPr>
      <w:pBdr>
        <w:top w:val="nil"/>
        <w:left w:val="nil"/>
        <w:bottom w:val="nil"/>
        <w:right w:val="nil"/>
        <w:between w:val="nil"/>
      </w:pBdr>
      <w:tabs>
        <w:tab w:val="center" w:pos="4535"/>
        <w:tab w:val="right" w:pos="9071"/>
      </w:tabs>
      <w:rPr>
        <w:color w:val="000000"/>
      </w:rPr>
    </w:pPr>
    <w:r>
      <w:rPr>
        <w:noProof/>
      </w:rPr>
      <mc:AlternateContent>
        <mc:Choice Requires="wps">
          <w:drawing>
            <wp:anchor distT="0" distB="0" distL="0" distR="0" simplePos="0" relativeHeight="251661312" behindDoc="1" locked="0" layoutInCell="1" hidden="0" allowOverlap="1">
              <wp:simplePos x="0" y="0"/>
              <wp:positionH relativeFrom="margin">
                <wp:align>center</wp:align>
              </wp:positionH>
              <wp:positionV relativeFrom="margin">
                <wp:align>center</wp:align>
              </wp:positionV>
              <wp:extent cx="8660899" cy="8660899"/>
              <wp:effectExtent l="0" t="0" r="0" b="0"/>
              <wp:wrapNone/>
              <wp:docPr id="3" name="Dreptunghi 3"/>
              <wp:cNvGraphicFramePr/>
              <a:graphic xmlns:a="http://schemas.openxmlformats.org/drawingml/2006/main">
                <a:graphicData uri="http://schemas.microsoft.com/office/word/2010/wordprocessingShape">
                  <wps:wsp>
                    <wps:cNvSpPr/>
                    <wps:spPr>
                      <a:xfrm rot="-2700000">
                        <a:off x="2264345" y="2547465"/>
                        <a:ext cx="6163310" cy="2465070"/>
                      </a:xfrm>
                      <a:prstGeom prst="rect">
                        <a:avLst/>
                      </a:prstGeom>
                      <a:noFill/>
                      <a:ln>
                        <a:noFill/>
                      </a:ln>
                    </wps:spPr>
                    <wps:txbx>
                      <w:txbxContent>
                        <w:p w14:paraId="744A4399"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wps:txbx>
                    <wps:bodyPr spcFirstLastPara="1" wrap="square" lIns="91425" tIns="91425" rIns="91425" bIns="91425" anchor="ctr" anchorCtr="0">
                      <a:noAutofit/>
                    </wps:bodyPr>
                  </wps:wsp>
                </a:graphicData>
              </a:graphic>
            </wp:anchor>
          </w:drawing>
        </mc:Choice>
        <mc:Fallback>
          <w:pict>
            <v:rect id="Dreptunghi 3" o:spid="_x0000_s1028" style="position:absolute;margin-left:0;margin-top:0;width:681.95pt;height:681.9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" filled="f" stroked="f">
              <v:textbox inset="2.53958mm,2.53958mm,2.53958mm,2.53958mm">
                <w:txbxContent>
                  <w:p w14:paraId="744A4399"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7" w14:textId="77777777" w:rsidR="00C62A9B" w:rsidRDefault="00C62A9B">
    <w:pPr>
      <w:pBdr>
        <w:top w:val="nil"/>
        <w:left w:val="nil"/>
        <w:bottom w:val="nil"/>
        <w:right w:val="nil"/>
        <w:between w:val="nil"/>
      </w:pBdr>
      <w:tabs>
        <w:tab w:val="center" w:pos="4535"/>
        <w:tab w:val="right" w:pos="9071"/>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8" w14:textId="77777777" w:rsidR="00C62A9B" w:rsidRDefault="00D11CD4">
    <w:pPr>
      <w:pBdr>
        <w:top w:val="nil"/>
        <w:left w:val="nil"/>
        <w:bottom w:val="nil"/>
        <w:right w:val="nil"/>
        <w:between w:val="nil"/>
      </w:pBdr>
      <w:tabs>
        <w:tab w:val="center" w:pos="7285"/>
        <w:tab w:val="right" w:pos="14003"/>
      </w:tabs>
      <w:rPr>
        <w:color w:val="000000"/>
      </w:rPr>
    </w:pPr>
    <w:r>
      <w:rPr>
        <w:noProof/>
      </w:rPr>
      <mc:AlternateContent>
        <mc:Choice Requires="wps">
          <w:drawing>
            <wp:anchor distT="0" distB="0" distL="0" distR="0" simplePos="0" relativeHeight="251660288" behindDoc="1" locked="0" layoutInCell="1" hidden="0" allowOverlap="1">
              <wp:simplePos x="0" y="0"/>
              <wp:positionH relativeFrom="margin">
                <wp:align>center</wp:align>
              </wp:positionH>
              <wp:positionV relativeFrom="margin">
                <wp:align>center</wp:align>
              </wp:positionV>
              <wp:extent cx="8660899" cy="8660899"/>
              <wp:effectExtent l="0" t="0" r="0" b="0"/>
              <wp:wrapNone/>
              <wp:docPr id="2" name="Dreptunghi 2"/>
              <wp:cNvGraphicFramePr/>
              <a:graphic xmlns:a="http://schemas.openxmlformats.org/drawingml/2006/main">
                <a:graphicData uri="http://schemas.microsoft.com/office/word/2010/wordprocessingShape">
                  <wps:wsp>
                    <wps:cNvSpPr/>
                    <wps:spPr>
                      <a:xfrm rot="-2700000">
                        <a:off x="2264345" y="2547465"/>
                        <a:ext cx="6163310" cy="2465070"/>
                      </a:xfrm>
                      <a:prstGeom prst="rect">
                        <a:avLst/>
                      </a:prstGeom>
                      <a:noFill/>
                      <a:ln>
                        <a:noFill/>
                      </a:ln>
                    </wps:spPr>
                    <wps:txbx>
                      <w:txbxContent>
                        <w:p w14:paraId="442F51A5"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wps:txbx>
                    <wps:bodyPr spcFirstLastPara="1" wrap="square" lIns="91425" tIns="91425" rIns="91425" bIns="91425" anchor="ctr" anchorCtr="0">
                      <a:noAutofit/>
                    </wps:bodyPr>
                  </wps:wsp>
                </a:graphicData>
              </a:graphic>
            </wp:anchor>
          </w:drawing>
        </mc:Choice>
        <mc:Fallback>
          <w:pict>
            <v:rect id="Dreptunghi 2" o:spid="_x0000_s1029" style="position:absolute;margin-left:0;margin-top:0;width:681.95pt;height:681.95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" filled="f" stroked="f">
              <v:textbox inset="2.53958mm,2.53958mm,2.53958mm,2.53958mm">
                <w:txbxContent>
                  <w:p w14:paraId="442F51A5" w14:textId="77777777" w:rsidR="00C62A9B" w:rsidRDefault="00D11CD4">
                    <w:pPr>
                      <w:spacing w:after="0" w:line="240" w:lineRule="auto"/>
                      <w:jc w:val="center"/>
                      <w:textDirection w:val="btLr"/>
                    </w:pPr>
                    <w:r>
                      <w:rPr>
                        <w:rFonts w:ascii="Trebuchet MS" w:eastAsia="Trebuchet MS" w:hAnsi="Trebuchet MS" w:cs="Trebuchet MS"/>
                        <w:color w:val="00000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FFB"/>
    <w:multiLevelType w:val="multilevel"/>
    <w:tmpl w:val="98E2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D76A9F"/>
    <w:multiLevelType w:val="hybridMultilevel"/>
    <w:tmpl w:val="A5BA6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C78A4"/>
    <w:multiLevelType w:val="hybridMultilevel"/>
    <w:tmpl w:val="D88860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9B"/>
    <w:rsid w:val="00092579"/>
    <w:rsid w:val="000B3484"/>
    <w:rsid w:val="000D1EF3"/>
    <w:rsid w:val="00117B6E"/>
    <w:rsid w:val="00291CE1"/>
    <w:rsid w:val="00346805"/>
    <w:rsid w:val="003C17D4"/>
    <w:rsid w:val="003D42EF"/>
    <w:rsid w:val="00604345"/>
    <w:rsid w:val="006338B8"/>
    <w:rsid w:val="00664797"/>
    <w:rsid w:val="006C17F3"/>
    <w:rsid w:val="006C49D1"/>
    <w:rsid w:val="00731902"/>
    <w:rsid w:val="00812FFF"/>
    <w:rsid w:val="009066F9"/>
    <w:rsid w:val="00947AA8"/>
    <w:rsid w:val="009F7647"/>
    <w:rsid w:val="00A83083"/>
    <w:rsid w:val="00AC653C"/>
    <w:rsid w:val="00C62A9B"/>
    <w:rsid w:val="00CA13D6"/>
    <w:rsid w:val="00CB0447"/>
    <w:rsid w:val="00CE5DAF"/>
    <w:rsid w:val="00D05E4C"/>
    <w:rsid w:val="00D11CD4"/>
    <w:rsid w:val="00D46CAF"/>
    <w:rsid w:val="00D7439E"/>
    <w:rsid w:val="00D87D5F"/>
    <w:rsid w:val="00DA5544"/>
    <w:rsid w:val="00DC2513"/>
    <w:rsid w:val="00E40F42"/>
    <w:rsid w:val="00E43440"/>
    <w:rsid w:val="00F05E48"/>
    <w:rsid w:val="00F44CD0"/>
    <w:rsid w:val="00F810EF"/>
    <w:rsid w:val="00FE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0798"/>
  <w15:docId w15:val="{2C11D79F-A274-467A-9F50-5986ECF1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440"/>
    <w:pPr>
      <w:keepNext/>
      <w:keepLines/>
      <w:spacing w:before="120" w:after="120" w:line="240" w:lineRule="auto"/>
      <w:jc w:val="both"/>
      <w:outlineLvl w:val="0"/>
    </w:pPr>
    <w:rPr>
      <w:b/>
      <w:color w:val="008000"/>
      <w:sz w:val="28"/>
      <w:szCs w:val="28"/>
    </w:rPr>
  </w:style>
  <w:style w:type="paragraph" w:styleId="Heading2">
    <w:name w:val="heading 2"/>
    <w:basedOn w:val="Normal"/>
    <w:next w:val="Normal"/>
    <w:uiPriority w:val="9"/>
    <w:unhideWhenUsed/>
    <w:qFormat/>
    <w:rsid w:val="00E43440"/>
    <w:pPr>
      <w:keepNext/>
      <w:keepLines/>
      <w:spacing w:before="120" w:after="120" w:line="240" w:lineRule="auto"/>
      <w:jc w:val="both"/>
      <w:outlineLvl w:val="1"/>
    </w:pPr>
    <w:rPr>
      <w:rFonts w:asciiTheme="majorHAnsi" w:eastAsia="Trebuchet MS" w:hAnsiTheme="majorHAnsi" w:cstheme="majorHAnsi"/>
      <w:b/>
      <w:color w:val="009900"/>
      <w:sz w:val="26"/>
      <w:szCs w:val="26"/>
    </w:rPr>
  </w:style>
  <w:style w:type="paragraph" w:styleId="Heading3">
    <w:name w:val="heading 3"/>
    <w:basedOn w:val="Normal"/>
    <w:next w:val="Normal"/>
    <w:uiPriority w:val="9"/>
    <w:unhideWhenUsed/>
    <w:qFormat/>
    <w:pPr>
      <w:keepNext/>
      <w:keepLines/>
      <w:spacing w:after="0" w:line="249" w:lineRule="auto"/>
      <w:outlineLvl w:val="2"/>
    </w:pPr>
    <w:rPr>
      <w:rFonts w:ascii="Trebuchet MS" w:eastAsia="Trebuchet MS" w:hAnsi="Trebuchet MS" w:cs="Trebuchet MS"/>
      <w:b/>
      <w:sz w:val="24"/>
      <w:szCs w:val="24"/>
    </w:rPr>
  </w:style>
  <w:style w:type="paragraph" w:styleId="Heading4">
    <w:name w:val="heading 4"/>
    <w:basedOn w:val="Normal"/>
    <w:next w:val="Normal"/>
    <w:uiPriority w:val="9"/>
    <w:semiHidden/>
    <w:unhideWhenUsed/>
    <w:qFormat/>
    <w:pPr>
      <w:keepNext/>
      <w:keepLines/>
      <w:spacing w:after="10" w:line="240" w:lineRule="auto"/>
      <w:ind w:left="201" w:hanging="10"/>
      <w:outlineLvl w:val="3"/>
    </w:pPr>
    <w:rPr>
      <w:rFonts w:ascii="Trebuchet MS" w:eastAsia="Trebuchet MS" w:hAnsi="Trebuchet MS" w:cs="Trebuchet MS"/>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Trebuchet MS" w:eastAsia="Trebuchet MS" w:hAnsi="Trebuchet MS" w:cs="Trebuchet M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0">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1">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2">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3">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4">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5">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6">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7">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8">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9">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a">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d">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e">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0">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1">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4">
    <w:basedOn w:val="TableNormal1"/>
    <w:pPr>
      <w:spacing w:after="0" w:line="240" w:lineRule="auto"/>
    </w:pPr>
    <w:tblPr>
      <w:tblStyleRowBandSize w:val="1"/>
      <w:tblStyleColBandSize w:val="1"/>
      <w:tblCellMar>
        <w:top w:w="127" w:type="dxa"/>
        <w:left w:w="115" w:type="dxa"/>
        <w:bottom w:w="13" w:type="dxa"/>
        <w:right w:w="115" w:type="dxa"/>
      </w:tblCellMar>
    </w:tblPr>
  </w:style>
  <w:style w:type="table" w:customStyle="1" w:styleId="af5">
    <w:basedOn w:val="TableNormal1"/>
    <w:pPr>
      <w:spacing w:after="0" w:line="240" w:lineRule="auto"/>
    </w:pPr>
    <w:tblPr>
      <w:tblStyleRowBandSize w:val="1"/>
      <w:tblStyleColBandSize w:val="1"/>
      <w:tblCellMar>
        <w:left w:w="108" w:type="dxa"/>
        <w:right w:w="115" w:type="dxa"/>
      </w:tblCellMar>
    </w:tblPr>
  </w:style>
  <w:style w:type="paragraph" w:styleId="ListParagraph">
    <w:name w:val="List Paragraph"/>
    <w:basedOn w:val="Normal"/>
    <w:uiPriority w:val="34"/>
    <w:qFormat/>
    <w:rsid w:val="00AC653C"/>
    <w:pPr>
      <w:ind w:left="720"/>
      <w:contextualSpacing/>
    </w:pPr>
  </w:style>
  <w:style w:type="character" w:styleId="Hyperlink">
    <w:name w:val="Hyperlink"/>
    <w:basedOn w:val="DefaultParagraphFont"/>
    <w:uiPriority w:val="99"/>
    <w:unhideWhenUsed/>
    <w:rsid w:val="00947AA8"/>
    <w:rPr>
      <w:color w:val="0000FF" w:themeColor="hyperlink"/>
      <w:u w:val="single"/>
    </w:rPr>
  </w:style>
  <w:style w:type="character" w:styleId="UnresolvedMention">
    <w:name w:val="Unresolved Mention"/>
    <w:basedOn w:val="DefaultParagraphFont"/>
    <w:uiPriority w:val="99"/>
    <w:semiHidden/>
    <w:unhideWhenUsed/>
    <w:rsid w:val="00947AA8"/>
    <w:rPr>
      <w:color w:val="605E5C"/>
      <w:shd w:val="clear" w:color="auto" w:fill="E1DFDD"/>
    </w:rPr>
  </w:style>
  <w:style w:type="character" w:styleId="FollowedHyperlink">
    <w:name w:val="FollowedHyperlink"/>
    <w:basedOn w:val="DefaultParagraphFont"/>
    <w:uiPriority w:val="99"/>
    <w:semiHidden/>
    <w:unhideWhenUsed/>
    <w:rsid w:val="00947AA8"/>
    <w:rPr>
      <w:color w:val="800080" w:themeColor="followedHyperlink"/>
      <w:u w:val="single"/>
    </w:rPr>
  </w:style>
  <w:style w:type="character" w:customStyle="1" w:styleId="Heading1Char">
    <w:name w:val="Heading 1 Char"/>
    <w:basedOn w:val="DefaultParagraphFont"/>
    <w:link w:val="Heading1"/>
    <w:uiPriority w:val="9"/>
    <w:rsid w:val="00E43440"/>
    <w:rPr>
      <w:b/>
      <w:color w:val="008000"/>
      <w:sz w:val="28"/>
      <w:szCs w:val="28"/>
    </w:rPr>
  </w:style>
  <w:style w:type="paragraph" w:styleId="TOC1">
    <w:name w:val="toc 1"/>
    <w:basedOn w:val="Normal"/>
    <w:next w:val="Normal"/>
    <w:autoRedefine/>
    <w:uiPriority w:val="39"/>
    <w:unhideWhenUsed/>
    <w:rsid w:val="00092579"/>
    <w:pPr>
      <w:spacing w:after="100"/>
    </w:pPr>
  </w:style>
  <w:style w:type="paragraph" w:styleId="TOC2">
    <w:name w:val="toc 2"/>
    <w:basedOn w:val="Normal"/>
    <w:next w:val="Normal"/>
    <w:autoRedefine/>
    <w:uiPriority w:val="39"/>
    <w:unhideWhenUsed/>
    <w:rsid w:val="00092579"/>
    <w:pPr>
      <w:spacing w:after="100"/>
      <w:ind w:left="220"/>
    </w:pPr>
  </w:style>
  <w:style w:type="paragraph" w:styleId="TOC3">
    <w:name w:val="toc 3"/>
    <w:basedOn w:val="Normal"/>
    <w:next w:val="Normal"/>
    <w:autoRedefine/>
    <w:uiPriority w:val="39"/>
    <w:unhideWhenUsed/>
    <w:rsid w:val="00092579"/>
    <w:pPr>
      <w:spacing w:after="100"/>
      <w:ind w:left="440"/>
    </w:pPr>
  </w:style>
  <w:style w:type="paragraph" w:styleId="TOCHeading">
    <w:name w:val="TOC Heading"/>
    <w:basedOn w:val="Heading1"/>
    <w:next w:val="Normal"/>
    <w:uiPriority w:val="39"/>
    <w:unhideWhenUsed/>
    <w:qFormat/>
    <w:rsid w:val="006C49D1"/>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fisiere/pagini_fisiere/Program_de_guvernare_2020_2024.pdf" TargetMode="External"/><Relationship Id="rId13" Type="http://schemas.openxmlformats.org/officeDocument/2006/relationships/header" Target="header3.xml"/><Relationship Id="rId18" Type="http://schemas.openxmlformats.org/officeDocument/2006/relationships/hyperlink" Target="https://ec.europa.eu/consularprotection/representation-offices_en?f%5B0%5D=origin_country_origin_country%3Ahttp%3A//publications.europa.eu/resource/authority/country/ROU&amp;f%5B1%5D=target_country_target_country%3Ahttp%3A//publications.europa.eu/resource/authority/country/AFG&amp;f%5B2%5D=target_country_target_country%3Ahttp%3A//publications.europa.eu/resource/authority/country/AGO&amp;f%5B3%5D=target_country_target_country%3Ahttp%3A//publications.europa.eu/resource/authority/country/ALB&amp;f%5B4%5D=target_country_target_country%3Ahttp%3A//publications.europa.eu/resource/authority/country/ARE&amp;f%5B5%5D=target_country_target_country%3Ahttp%3A//publications.europa.eu/resource/authority/country/ARG&amp;f%5B6%5D=target_country_target_country%3Ahttp%3A//publications.europa.eu/resource/authority/country/ARM&amp;f%5B7%5D=target_country_target_country%3Ahttp%3A//publications.europa.eu/resource/authority/country/AUS&amp;f%5B8%5D=target_country_target_country%3Ahttp%3A//publications.europa.eu/resource/authority/country/AZE&amp;f%5B9%5D=target_country_target_country%3Ahttp%3A//publications.europa.eu/resource/authority/country/BIH&amp;f%5B10%5D=target_country_target_country%3Ahttp%3A//publications.europa.eu/resource/authority/country/BLR&amp;f%5B11%5D=target_country_target_country%3Ahttp%3A//publications.europa.eu/resource/authority/country/BRA&amp;f%5B12%5D=target_country_target_country%3Ahttp%3A//publications.europa.eu/resource/authority/country/CAN&amp;f%5B13%5D=target_country_target_country%3Ahttp%3A//publications.europa.eu/resource/authority/country/CHE&amp;f%5B14%5D=target_country_target_country%3Ahttp%3A//publications.europa.eu/resource/authority/country/CHL&amp;f%5B15%5D=target_country_target_country%3Ahttp%3A//publications.europa.eu/resource/authority/country/CHN&amp;f%5B16%5D=target_country_target_country%3Ahttp%3A//publications.europa.eu/resource/authority/country/COL&amp;f%5B17%5D=target_country_target_country%3Ahttp%3A//publications.europa.eu/resource/authority/country/CUB&amp;f%5B18%5D=target_country_target_country%3Ahttp%3A//publications.europa.eu/resource/authority/country/DZA&amp;f%5B19%5D=target_country_target_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nap.gov.ro/web/analize-si-rapoarte-statistice/?future=fal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eurostat/databrowser/bookmark/42e248c4-ef83-4df3-afe1-fe25333c730c?lang=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politiadefrontiera.ro/ro/main/n-informaii-de-interes-public-analiza-activitatii-9/" TargetMode="External"/><Relationship Id="rId20" Type="http://schemas.openxmlformats.org/officeDocument/2006/relationships/hyperlink" Target="http://sicap-prod.e-licitatie.ro"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politiadefrontiera.ro/ro/main/n-informaii-de-interes-public-analiza-activitatii-9/" TargetMode="External"/><Relationship Id="rId23" Type="http://schemas.openxmlformats.org/officeDocument/2006/relationships/hyperlink" Target="http://www.fed.mai.gov.ro"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anap.gov.ro/web/analize-si-rapoarte-statistice/?future=fal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ed.mai.gov.roam"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1639-799C-46D1-B853-AC33862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14334</Words>
  <Characters>83143</Characters>
  <Application>Microsoft Office Word</Application>
  <DocSecurity>0</DocSecurity>
  <Lines>692</Lines>
  <Paragraphs>194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Samoila</dc:creator>
  <cp:lastModifiedBy>Andrei TURCANU</cp:lastModifiedBy>
  <cp:revision>15</cp:revision>
  <cp:lastPrinted>2021-08-02T08:20:00Z</cp:lastPrinted>
  <dcterms:created xsi:type="dcterms:W3CDTF">2021-07-30T11:48:00Z</dcterms:created>
  <dcterms:modified xsi:type="dcterms:W3CDTF">2021-08-02T08:21:00Z</dcterms:modified>
</cp:coreProperties>
</file>