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D2747D"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End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D2747D"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D2747D"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D2747D"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D2747D"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D2747D"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D2747D"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D2747D"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D2747D"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D2747D"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D2747D"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D2747D"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D2747D"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D2747D"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D2747D"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D2747D"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D2747D"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D2747D"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D2747D"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D2747D"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D2747D"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D2747D"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D2747D"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D2747D"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D2747D"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D2747D"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D2747D"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D2747D"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D2747D"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D2747D"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D2747D"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D2747D"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D2747D"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D2747D"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D2747D"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D2747D"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D2747D"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D2747D"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D2747D"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D2747D"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D2747D"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D2747D"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D2747D"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D2747D"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D2747D"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D2747D"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D2747D"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D2747D"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D2747D"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D2747D"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D2747D"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D2747D"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D2747D"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D2747D"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746652B3">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w:t>
            </w:r>
            <w:r w:rsidR="009E0A8B">
              <w:rPr>
                <w:i/>
                <w:iCs/>
                <w:color w:val="E36C0A" w:themeColor="accent6" w:themeShade="BF"/>
              </w:rPr>
              <w:t>3</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6B0F66DF">
            <w:pPr>
              <w:widowControl w:val="0"/>
              <w:pBdr>
                <w:top w:val="nil"/>
                <w:left w:val="nil"/>
                <w:bottom w:val="nil"/>
                <w:right w:val="nil"/>
                <w:between w:val="nil"/>
              </w:pBdr>
              <w:rPr>
                <w:i/>
                <w:iCs/>
                <w:color w:val="E36C0A" w:themeColor="accent6" w:themeShade="BF"/>
              </w:rPr>
            </w:pPr>
            <w:r>
              <w:t>Apel restrâns cu depunere la termen</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550C3234">
            <w:pPr>
              <w:widowControl w:val="0"/>
              <w:pBdr>
                <w:top w:val="nil"/>
                <w:left w:val="nil"/>
                <w:bottom w:val="nil"/>
                <w:right w:val="nil"/>
                <w:between w:val="nil"/>
              </w:pBdr>
              <w:rPr>
                <w:b/>
                <w:i/>
                <w:iCs/>
                <w:color w:val="E36C0A" w:themeColor="accent6" w:themeShade="BF"/>
              </w:rPr>
            </w:pPr>
            <w:r>
              <w:rPr>
                <w:i/>
                <w:iCs/>
                <w:color w:val="E36C0A" w:themeColor="accent6" w:themeShade="BF"/>
              </w:rPr>
              <w:t>28.11.2023,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D51218" w14:paraId="55E42B9D" w14:textId="15FE81C7">
            <w:pPr>
              <w:widowControl w:val="0"/>
              <w:rPr>
                <w:b/>
                <w:i/>
                <w:iCs/>
              </w:rPr>
            </w:pPr>
            <w:r w:rsidRPr="009953D7">
              <w:t>OS1.</w:t>
            </w:r>
            <w:r w:rsidR="009E0A8B">
              <w:t>3</w:t>
            </w:r>
            <w:r w:rsidRPr="009953D7">
              <w:t xml:space="preserve"> </w:t>
            </w:r>
            <w:r w:rsidR="00D2747D">
              <w:t>Îmbunătățirea verificărilor la frontiere prin consolidarea capacităților pentru prevenirea și depistarea criminalității transfrontaliere și pentru facilitarea trecerii legale a frontierei</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D2747D" w14:paraId="55E42BA0" w14:textId="30AD289B">
            <w:pPr>
              <w:widowControl w:val="0"/>
              <w:rPr>
                <w:i/>
                <w:iCs/>
              </w:rPr>
            </w:pPr>
            <w:r>
              <w:rPr>
                <w:i/>
                <w:iCs/>
              </w:rPr>
              <w:t>5</w:t>
            </w:r>
            <w:r w:rsidR="00D51218">
              <w:rPr>
                <w:i/>
                <w:iCs/>
              </w:rPr>
              <w:t xml:space="preserve">0.000.000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lastRenderedPageBreak/>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proofErr w:type="spellStart"/>
            <w:r w:rsidRPr="00142DE9">
              <w:rPr>
                <w:i/>
                <w:iCs/>
              </w:rPr>
              <w:t>prefinanțare</w:t>
            </w:r>
            <w:proofErr w:type="spellEnd"/>
            <w:r w:rsidRPr="00142DE9">
              <w:rPr>
                <w:i/>
                <w:iCs/>
              </w:rPr>
              <w:t xml:space="preserv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7DFB9600">
            <w:pPr>
              <w:spacing w:before="120" w:after="60"/>
              <w:jc w:val="both"/>
            </w:pPr>
            <w:r w:rsidRPr="00142DE9">
              <w:rPr>
                <w:rFonts w:eastAsia="Arial" w:cs="Arial"/>
                <w:i/>
                <w:color w:val="E36C0A" w:themeColor="accent6" w:themeShade="BF"/>
              </w:rPr>
              <w:t xml:space="preserve">Această subsecțiune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lastRenderedPageBreak/>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lastRenderedPageBreak/>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762C2237"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762C2237" w:rsidRDefault="005C7EDF" w14:paraId="773FE6E2" w14:textId="46612D49">
            <w:pPr>
              <w:numPr>
                <w:ilvl w:val="0"/>
                <w:numId w:val="1"/>
              </w:numPr>
              <w:spacing w:before="60" w:after="60"/>
              <w:jc w:val="both"/>
              <w:rPr>
                <w:i w:val="1"/>
                <w:iCs w:val="1"/>
                <w:color w:val="E36C0A" w:themeColor="accent6" w:themeShade="BF"/>
              </w:rPr>
            </w:pPr>
            <w:r w:rsidRPr="762C2237"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762C2237" w:rsidR="64B83C51">
              <w:rPr>
                <w:i w:val="1"/>
                <w:iCs w:val="1"/>
                <w:color w:val="E36C0A" w:themeColor="accent6" w:themeTint="FF" w:themeShade="BF"/>
              </w:rPr>
              <w:t xml:space="preserve"> </w:t>
            </w:r>
            <w:r w:rsidRPr="762C2237" w:rsidR="005C7EDF">
              <w:rPr>
                <w:i w:val="1"/>
                <w:iCs w:val="1"/>
                <w:color w:val="E36C0A" w:themeColor="accent6" w:themeTint="FF" w:themeShade="BF"/>
              </w:rPr>
              <w:t xml:space="preserve">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 xml:space="preserve">B6.2 Calendar de </w:t>
      </w:r>
      <w:proofErr w:type="spellStart"/>
      <w:r w:rsidRPr="00142DE9">
        <w:rPr>
          <w:rFonts w:eastAsia="Arial" w:cs="Arial"/>
        </w:rPr>
        <w:t>prefinanțare</w:t>
      </w:r>
      <w:proofErr w:type="spellEnd"/>
      <w:r w:rsidRPr="00142DE9">
        <w:rPr>
          <w:rFonts w:eastAsia="Arial" w:cs="Arial"/>
        </w:rPr>
        <w:t>-rambursare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D2747D"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D2747D"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F1F" w:rsidRDefault="00FE5F1F" w14:paraId="65320C2E" w14:textId="77777777">
      <w:r>
        <w:separator/>
      </w:r>
    </w:p>
  </w:endnote>
  <w:endnote w:type="continuationSeparator" w:id="0">
    <w:p w:rsidR="00FE5F1F" w:rsidRDefault="00FE5F1F" w14:paraId="3B58BD02" w14:textId="77777777">
      <w:r>
        <w:continuationSeparator/>
      </w:r>
    </w:p>
  </w:endnote>
  <w:endnote w:type="continuationNotice" w:id="1">
    <w:p w:rsidR="00FE5F1F" w:rsidRDefault="00FE5F1F" w14:paraId="7E8404B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F1F" w:rsidRDefault="00FE5F1F" w14:paraId="6F648972" w14:textId="77777777">
      <w:r>
        <w:separator/>
      </w:r>
    </w:p>
  </w:footnote>
  <w:footnote w:type="continuationSeparator" w:id="0">
    <w:p w:rsidR="00FE5F1F" w:rsidRDefault="00FE5F1F" w14:paraId="5064A6AB" w14:textId="77777777">
      <w:r>
        <w:continuationSeparator/>
      </w:r>
    </w:p>
  </w:footnote>
  <w:footnote w:type="continuationNotice" w:id="1">
    <w:p w:rsidR="00FE5F1F" w:rsidRDefault="00FE5F1F" w14:paraId="754E7EB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7C6B6D4F">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w:t>
    </w:r>
    <w:r w:rsidR="009E0A8B">
      <w:rPr>
        <w:rFonts w:eastAsia="Roboto" w:cs="Roboto"/>
        <w:color w:val="666666"/>
        <w:sz w:val="16"/>
        <w:szCs w:val="16"/>
      </w:rPr>
      <w:t>3</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3d3692722b1f4173"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965af90-b3a9-485b-8666-c361ff5c10da}"/>
      </w:docPartPr>
      <w:docPartBody>
        <w:p w14:paraId="483ECF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www.w3.org/XML/1998/namespace"/>
    <ds:schemaRef ds:uri="488e987e-ac47-4198-9cfa-4fcb7c9ee7d8"/>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8b321055-72cf-4967-81f5-0bb003411f8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2023-09-14T09:33:00.0000000Z</dcterms:created>
  <dcterms:modified xsi:type="dcterms:W3CDTF">2023-09-27T08:19:24.3255333Z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