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50FB1034"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w:t>
            </w:r>
            <w:r w:rsidRPr="00B57E07">
              <w:rPr>
                <w:i/>
                <w:color w:val="337AB7"/>
              </w:rPr>
              <w:t xml:space="preserve">, pentru a evalua admisibilitatea și calitatea proiectului propus pentru finanțare. </w:t>
            </w:r>
          </w:p>
          <w:p w14:paraId="595D8090" w14:textId="4F7830F5"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8D6D1D"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8D6D1D">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8D6D1D">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8D6D1D">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8D6D1D">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8D6D1D">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8D6D1D">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513A137F" w:rsidR="002F1804" w:rsidRPr="00142DE9" w:rsidRDefault="5BE08562" w:rsidP="0CD0C847">
            <w:pPr>
              <w:widowControl w:val="0"/>
              <w:spacing w:line="259" w:lineRule="auto"/>
            </w:pPr>
            <w:r w:rsidRPr="0CD0C847">
              <w:rPr>
                <w:i/>
                <w:iCs/>
                <w:color w:val="E36C0A" w:themeColor="accent6" w:themeShade="BF"/>
              </w:rPr>
              <w:t>B</w:t>
            </w:r>
            <w:r w:rsidR="006F5194">
              <w:rPr>
                <w:i/>
                <w:iCs/>
                <w:color w:val="E36C0A" w:themeColor="accent6" w:themeShade="BF"/>
              </w:rPr>
              <w:t>V2</w:t>
            </w:r>
            <w:r w:rsidR="00417553">
              <w:rPr>
                <w:i/>
                <w:iCs/>
                <w:color w:val="E36C0A" w:themeColor="accent6" w:themeShade="BF"/>
              </w:rPr>
              <w:t>1</w:t>
            </w:r>
            <w:r w:rsidRPr="0CD0C847">
              <w:rPr>
                <w:i/>
                <w:iCs/>
                <w:color w:val="E36C0A" w:themeColor="accent6" w:themeShade="BF"/>
              </w:rPr>
              <w:t>A</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4D7FE1D7" w:rsidR="00182179" w:rsidRPr="00142DE9" w:rsidRDefault="006A606A" w:rsidP="00182179">
            <w:pPr>
              <w:widowControl w:val="0"/>
              <w:pBdr>
                <w:top w:val="nil"/>
                <w:left w:val="nil"/>
                <w:bottom w:val="nil"/>
                <w:right w:val="nil"/>
                <w:between w:val="nil"/>
              </w:pBdr>
              <w:rPr>
                <w:i/>
                <w:iCs/>
                <w:color w:val="E36C0A" w:themeColor="accent6" w:themeShade="BF"/>
              </w:rPr>
            </w:pPr>
            <w:r>
              <w:rPr>
                <w:i/>
                <w:iCs/>
                <w:color w:val="E36C0A" w:themeColor="accent6" w:themeShade="BF"/>
              </w:rPr>
              <w:t xml:space="preserve">Apel restrâns cu depunere la termen </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1F453618" w:rsidR="00182179" w:rsidRPr="00142DE9" w:rsidRDefault="006A606A" w:rsidP="00182179">
            <w:pPr>
              <w:widowControl w:val="0"/>
              <w:pBdr>
                <w:top w:val="nil"/>
                <w:left w:val="nil"/>
                <w:bottom w:val="nil"/>
                <w:right w:val="nil"/>
                <w:between w:val="nil"/>
              </w:pBdr>
              <w:rPr>
                <w:i/>
                <w:iCs/>
                <w:color w:val="E36C0A" w:themeColor="accent6" w:themeShade="BF"/>
              </w:rPr>
            </w:pPr>
            <w:r>
              <w:rPr>
                <w:i/>
                <w:iCs/>
                <w:color w:val="E36C0A" w:themeColor="accent6" w:themeShade="BF"/>
              </w:rPr>
              <w:t>28.09.2023</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166DE016" w:rsidR="00182179" w:rsidRPr="00142DE9" w:rsidRDefault="006A606A" w:rsidP="00182179">
            <w:pPr>
              <w:widowControl w:val="0"/>
              <w:pBdr>
                <w:top w:val="nil"/>
                <w:left w:val="nil"/>
                <w:bottom w:val="nil"/>
                <w:right w:val="nil"/>
                <w:between w:val="nil"/>
              </w:pBdr>
              <w:rPr>
                <w:b/>
                <w:i/>
                <w:iCs/>
                <w:color w:val="E36C0A" w:themeColor="accent6" w:themeShade="BF"/>
              </w:rPr>
            </w:pPr>
            <w:r>
              <w:rPr>
                <w:i/>
                <w:iCs/>
                <w:color w:val="E36C0A" w:themeColor="accent6" w:themeShade="BF"/>
              </w:rPr>
              <w:t>28.11.2023</w:t>
            </w: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417553"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417553" w:rsidRPr="00142DE9" w:rsidRDefault="00417553" w:rsidP="00417553">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5F37F6C0" w:rsidR="00417553" w:rsidRPr="00142DE9" w:rsidRDefault="00417553" w:rsidP="00417553">
            <w:pPr>
              <w:widowControl w:val="0"/>
              <w:rPr>
                <w:b/>
                <w:i/>
                <w:iCs/>
              </w:rPr>
            </w:pPr>
            <w:r>
              <w:rPr>
                <w:rStyle w:val="normaltextrun"/>
                <w:rFonts w:cs="Segoe UI"/>
              </w:rPr>
              <w:t>IMFV Instrumentul pentru managementul frontierei și politica de vize</w:t>
            </w:r>
            <w:r>
              <w:rPr>
                <w:rStyle w:val="eop"/>
                <w:rFonts w:cs="Segoe UI"/>
              </w:rPr>
              <w:t> </w:t>
            </w:r>
          </w:p>
        </w:tc>
      </w:tr>
      <w:tr w:rsidR="00417553"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417553" w:rsidRPr="00142DE9" w:rsidRDefault="00417553" w:rsidP="00417553">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4686C337" w:rsidR="00417553" w:rsidRPr="00142DE9" w:rsidRDefault="00417553" w:rsidP="00417553">
            <w:pPr>
              <w:widowControl w:val="0"/>
              <w:rPr>
                <w:i/>
                <w:iCs/>
              </w:rPr>
            </w:pPr>
            <w:r>
              <w:rPr>
                <w:rStyle w:val="normaltextrun"/>
                <w:rFonts w:cs="Segoe UI"/>
              </w:rPr>
              <w:t>Programul național 2021-2027 Managementul frontierelor și vize 2021RO65BVPR001</w:t>
            </w:r>
            <w:r>
              <w:rPr>
                <w:rStyle w:val="eop"/>
                <w:rFonts w:cs="Segoe UI"/>
              </w:rPr>
              <w:t> </w:t>
            </w:r>
          </w:p>
        </w:tc>
      </w:tr>
      <w:tr w:rsidR="00417553" w:rsidRPr="00142DE9" w14:paraId="55E42B9B" w14:textId="77777777">
        <w:tc>
          <w:tcPr>
            <w:tcW w:w="5619" w:type="dxa"/>
            <w:shd w:val="clear" w:color="auto" w:fill="auto"/>
            <w:tcMar>
              <w:top w:w="100" w:type="dxa"/>
              <w:left w:w="100" w:type="dxa"/>
              <w:bottom w:w="100" w:type="dxa"/>
              <w:right w:w="100" w:type="dxa"/>
            </w:tcMar>
          </w:tcPr>
          <w:p w14:paraId="55E42B99" w14:textId="615D9C8B" w:rsidR="00417553" w:rsidRPr="00142DE9" w:rsidRDefault="00417553" w:rsidP="00417553">
            <w:pPr>
              <w:widowControl w:val="0"/>
            </w:pPr>
            <w:r w:rsidRPr="00142DE9">
              <w:t xml:space="preserve">Obiectiv specific </w:t>
            </w:r>
          </w:p>
        </w:tc>
        <w:tc>
          <w:tcPr>
            <w:tcW w:w="4021" w:type="dxa"/>
            <w:shd w:val="clear" w:color="auto" w:fill="auto"/>
            <w:tcMar>
              <w:top w:w="100" w:type="dxa"/>
              <w:left w:w="100" w:type="dxa"/>
              <w:bottom w:w="100" w:type="dxa"/>
              <w:right w:w="100" w:type="dxa"/>
            </w:tcMar>
            <w:vAlign w:val="center"/>
          </w:tcPr>
          <w:p w14:paraId="55E42B9A" w14:textId="6CD51922" w:rsidR="00417553" w:rsidRPr="00142DE9" w:rsidRDefault="00417553" w:rsidP="00417553">
            <w:pPr>
              <w:widowControl w:val="0"/>
              <w:rPr>
                <w:i/>
                <w:iCs/>
              </w:rPr>
            </w:pPr>
            <w:r>
              <w:t>OS2</w:t>
            </w:r>
            <w:r>
              <w:br/>
              <w:t>Sprijinirea politicii comune a vizelor pentru a asigura o abordare armonizată cu privire la eliberarea vizelor și pentru a facilita călătoriile în scopuri legitime, contribuind în același timp la prevenirea riscurilor în materie de migrație și riscurilor pentru securitate.</w:t>
            </w:r>
          </w:p>
        </w:tc>
      </w:tr>
      <w:tr w:rsidR="00417553"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417553" w:rsidRPr="00142DE9" w:rsidRDefault="00417553" w:rsidP="00417553">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9215A87" w:rsidR="00417553" w:rsidRPr="00142DE9" w:rsidRDefault="0082193C" w:rsidP="00417553">
            <w:pPr>
              <w:widowControl w:val="0"/>
              <w:rPr>
                <w:b/>
                <w:i/>
                <w:iCs/>
              </w:rPr>
            </w:pPr>
            <w:r>
              <w:t>OS2.1 Dezvoltarea și modernizarea infrastructurii oficiilor consulare pentru furnizarea de servicii eficiente și ușor de utilizat pentru solicitanții de viză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185747F5" w:rsidR="002F1804" w:rsidRPr="00142DE9" w:rsidRDefault="006F5194">
            <w:pPr>
              <w:widowControl w:val="0"/>
              <w:rPr>
                <w:i/>
                <w:iCs/>
              </w:rPr>
            </w:pPr>
            <w:r>
              <w:rPr>
                <w:i/>
                <w:iCs/>
              </w:rPr>
              <w:t>500.000</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2EEE9487" w:rsidR="00A700F3" w:rsidRPr="00142DE9" w:rsidRDefault="00683184">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55E42C0E" w14:textId="16A833AE" w:rsidR="00442EA3" w:rsidRPr="00142DE9" w:rsidRDefault="00442EA3" w:rsidP="00583B6D">
            <w:pPr>
              <w:widowControl w:val="0"/>
              <w:pBdr>
                <w:top w:val="nil"/>
                <w:left w:val="nil"/>
                <w:bottom w:val="nil"/>
                <w:right w:val="nil"/>
                <w:between w:val="nil"/>
              </w:pBdr>
              <w:rPr>
                <w:i/>
                <w:iCs/>
              </w:rPr>
            </w:pP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6" w14:textId="4157794C" w:rsidR="002F1804" w:rsidRPr="00142DE9" w:rsidRDefault="00683184">
            <w:pPr>
              <w:spacing w:after="60"/>
              <w:jc w:val="both"/>
              <w:rPr>
                <w:i/>
                <w:iCs/>
              </w:rPr>
            </w:pPr>
            <w:r>
              <w:rPr>
                <w:i/>
              </w:rPr>
              <w:t>0%</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22ADC27C" w14:textId="50F81843" w:rsidR="00990DC2" w:rsidRPr="004B52FD" w:rsidRDefault="004B52FD" w:rsidP="00990DC2">
      <w:pPr>
        <w:rPr>
          <w:i/>
          <w:iCs/>
        </w:rPr>
      </w:pPr>
      <w:r w:rsidRPr="004B52FD">
        <w:rPr>
          <w:i/>
          <w:iCs/>
        </w:rPr>
        <w:t>Nu e cazul</w:t>
      </w:r>
    </w:p>
    <w:p w14:paraId="55E42C68" w14:textId="77777777" w:rsidR="002F1804" w:rsidRPr="00142DE9" w:rsidRDefault="00AC1DF0">
      <w:pPr>
        <w:pStyle w:val="Heading3"/>
      </w:pPr>
      <w:bookmarkStart w:id="7" w:name="_Toc145343655"/>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06EEF18F">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431D038B" w:rsidR="005C7EDF" w:rsidRPr="00142DE9" w:rsidRDefault="005C7EDF" w:rsidP="06EEF18F">
            <w:pPr>
              <w:numPr>
                <w:ilvl w:val="0"/>
                <w:numId w:val="1"/>
              </w:numPr>
              <w:spacing w:before="60" w:after="60"/>
              <w:jc w:val="both"/>
              <w:rPr>
                <w:i/>
                <w:iCs/>
                <w:color w:val="E36C0A" w:themeColor="accent6" w:themeShade="BF"/>
              </w:rPr>
            </w:pPr>
            <w:r w:rsidRPr="06EEF18F">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66F3533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4450478"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p w14:paraId="289EB143" w14:textId="22E3D52A" w:rsidR="00977CD9" w:rsidRPr="00977CD9" w:rsidRDefault="00977CD9" w:rsidP="00977CD9">
      <w:pPr>
        <w:rPr>
          <w:i/>
          <w:iCs/>
        </w:rPr>
      </w:pPr>
      <w:r w:rsidRPr="00977CD9">
        <w:rPr>
          <w:i/>
          <w:iCs/>
        </w:rPr>
        <w:t>Nu e cazul</w:t>
      </w:r>
    </w:p>
    <w:p w14:paraId="55E42CD4" w14:textId="77777777" w:rsidR="002F1804" w:rsidRPr="00142DE9" w:rsidRDefault="00AC1DF0">
      <w:pPr>
        <w:pStyle w:val="Heading2"/>
      </w:pPr>
      <w:bookmarkStart w:id="9" w:name="_Toc145343657"/>
      <w:r w:rsidRPr="00142DE9">
        <w:rPr>
          <w:rFonts w:eastAsia="Arial" w:cs="Arial"/>
        </w:rPr>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45343677"/>
      <w:r w:rsidRPr="00142DE9">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45343678"/>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45343679"/>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45343680"/>
            <w:r w:rsidRPr="00142DE9">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45343681"/>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Lmax,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45343682"/>
      <w:r w:rsidRPr="00142DE9">
        <w:rPr>
          <w:rFonts w:eastAsia="Arial" w:cs="Arial"/>
        </w:rPr>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45343683"/>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45343684"/>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45343685"/>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rsidTr="09190C67">
        <w:tc>
          <w:tcPr>
            <w:tcW w:w="14672" w:type="dxa"/>
            <w:shd w:val="clear" w:color="auto" w:fill="auto"/>
            <w:tcMar>
              <w:top w:w="100" w:type="dxa"/>
              <w:left w:w="100" w:type="dxa"/>
              <w:bottom w:w="100" w:type="dxa"/>
              <w:right w:w="100" w:type="dxa"/>
            </w:tcMar>
          </w:tcPr>
          <w:p w14:paraId="59C13D50" w14:textId="77777777" w:rsidR="00292A2E" w:rsidRDefault="332199A3" w:rsidP="00B41987">
            <w:pPr>
              <w:spacing w:line="259" w:lineRule="auto"/>
              <w:jc w:val="both"/>
              <w:rPr>
                <w:i/>
                <w:iCs/>
                <w:color w:val="E36C0A" w:themeColor="accent6" w:themeShade="BF"/>
              </w:rPr>
            </w:pPr>
            <w:r w:rsidRPr="09190C67">
              <w:rPr>
                <w:i/>
                <w:iCs/>
                <w:color w:val="E36C0A" w:themeColor="accent6" w:themeShade="BF"/>
              </w:rPr>
              <w:t xml:space="preserve"> Se va selecta SCO- buget conform Metodologiei privind modalitatea de stabilire a </w:t>
            </w:r>
            <w:r w:rsidR="0C91A7FA" w:rsidRPr="09190C67">
              <w:rPr>
                <w:i/>
                <w:iCs/>
                <w:color w:val="E36C0A" w:themeColor="accent6" w:themeShade="BF"/>
              </w:rPr>
              <w:t xml:space="preserve">opțiunilor de costuri simplificat prin SCO-buget ex-ante publicată pe siteul </w:t>
            </w:r>
            <w:r w:rsidR="0C91A7FA" w:rsidRPr="002A0D65">
              <w:rPr>
                <w:i/>
                <w:iCs/>
                <w:color w:val="E36C0A" w:themeColor="accent6" w:themeShade="BF"/>
              </w:rPr>
              <w:t>AM</w:t>
            </w:r>
            <w:r w:rsidR="0C91A7FA" w:rsidRPr="09190C67">
              <w:rPr>
                <w:i/>
                <w:iCs/>
                <w:color w:val="E36C0A" w:themeColor="accent6" w:themeShade="BF"/>
              </w:rPr>
              <w:t xml:space="preserve"> </w:t>
            </w:r>
            <w:r w:rsidR="00D43438">
              <w:rPr>
                <w:i/>
                <w:iCs/>
                <w:color w:val="E36C0A" w:themeColor="accent6" w:themeShade="BF"/>
              </w:rPr>
              <w:t xml:space="preserve">la secțuniea </w:t>
            </w:r>
            <w:hyperlink r:id="rId15" w:history="1">
              <w:r w:rsidR="00D43438" w:rsidRPr="002A0D65">
                <w:rPr>
                  <w:rStyle w:val="Hyperlink"/>
                  <w:i/>
                  <w:iCs/>
                </w:rPr>
                <w:t>Metodologii pro</w:t>
              </w:r>
              <w:r w:rsidR="002A0D65" w:rsidRPr="002A0D65">
                <w:rPr>
                  <w:rStyle w:val="Hyperlink"/>
                  <w:i/>
                  <w:iCs/>
                </w:rPr>
                <w:t>gr</w:t>
              </w:r>
              <w:bookmarkStart w:id="38" w:name="_Hlt146718575"/>
              <w:bookmarkStart w:id="39" w:name="_Hlt146718576"/>
              <w:r w:rsidR="002A0D65" w:rsidRPr="002A0D65">
                <w:rPr>
                  <w:rStyle w:val="Hyperlink"/>
                  <w:i/>
                  <w:iCs/>
                </w:rPr>
                <w:t>a</w:t>
              </w:r>
              <w:bookmarkEnd w:id="38"/>
              <w:bookmarkEnd w:id="39"/>
              <w:r w:rsidR="002A0D65" w:rsidRPr="002A0D65">
                <w:rPr>
                  <w:rStyle w:val="Hyperlink"/>
                  <w:i/>
                  <w:iCs/>
                </w:rPr>
                <w:t>me</w:t>
              </w:r>
            </w:hyperlink>
          </w:p>
          <w:p w14:paraId="55E42DE2" w14:textId="26A00400" w:rsidR="00292A2E" w:rsidRPr="00B41987" w:rsidRDefault="00292A2E" w:rsidP="00B41987">
            <w:pPr>
              <w:spacing w:line="259" w:lineRule="auto"/>
              <w:jc w:val="both"/>
              <w:rPr>
                <w:i/>
                <w:iCs/>
                <w:color w:val="E36C0A" w:themeColor="accent6" w:themeShade="BF"/>
              </w:rPr>
            </w:pPr>
          </w:p>
        </w:tc>
      </w:tr>
      <w:tr w:rsidR="002811EB" w:rsidRPr="00142DE9" w14:paraId="55E42DE5" w14:textId="77777777" w:rsidTr="09190C6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40" w:name="_Toc145343686"/>
      <w:r w:rsidRPr="00142DE9">
        <w:t>TABEL5.2 Buget</w:t>
      </w:r>
      <w:bookmarkEnd w:id="40"/>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1" w:name="_vx1227" w:colFirst="0" w:colLast="0"/>
      <w:bookmarkEnd w:id="41"/>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2" w:name="_Toc145343687"/>
            <w:r w:rsidRPr="00142DE9">
              <w:rPr>
                <w:rFonts w:eastAsia="Arial" w:cs="Arial"/>
              </w:rPr>
              <w:t>B5.3. Domeniile de intervenție și tipurile de acțiuni abordate</w:t>
            </w:r>
            <w:bookmarkEnd w:id="42"/>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3" w:name="_Toc145343688"/>
      <w:r w:rsidRPr="00142DE9">
        <w:rPr>
          <w:rFonts w:eastAsia="Arial" w:cs="Arial"/>
        </w:rPr>
        <w:t>TABEL5.3. Domenii de intervenție PN și tipuri de acțiuni PN abordate</w:t>
      </w:r>
      <w:bookmarkEnd w:id="43"/>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4" w:name="_Toc145343689"/>
      <w:r w:rsidRPr="00142DE9">
        <w:t>B6 Calendare</w:t>
      </w:r>
      <w:bookmarkEnd w:id="44"/>
    </w:p>
    <w:p w14:paraId="203A54F5" w14:textId="02E0479E" w:rsidR="00022289" w:rsidRPr="00022289" w:rsidRDefault="00022289" w:rsidP="00022289">
      <w:pPr>
        <w:pStyle w:val="Heading4"/>
        <w:widowControl w:val="0"/>
        <w:spacing w:before="0" w:after="0"/>
      </w:pPr>
      <w:bookmarkStart w:id="45" w:name="_Toc145343690"/>
      <w:r w:rsidRPr="00142DE9">
        <w:t>B6.1 Calendar de implementare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6" w:name="_Toc145343691"/>
      <w:r w:rsidRPr="00142DE9">
        <w:t>TABEL6.1 Calendar de implementare</w:t>
      </w:r>
      <w:bookmarkEnd w:id="46"/>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7" w:name="_Toc145343692"/>
      <w:r w:rsidRPr="00142DE9">
        <w:rPr>
          <w:rFonts w:eastAsia="Arial" w:cs="Arial"/>
        </w:rPr>
        <w:t>B6.2 Calendar de prefinanțare-rambursare</w:t>
      </w:r>
      <w:bookmarkEnd w:id="47"/>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8" w:name="_Toc145343693"/>
      <w:r w:rsidRPr="00142DE9">
        <w:rPr>
          <w:rFonts w:eastAsia="Arial" w:cs="Arial"/>
        </w:rPr>
        <w:t>TABEL6.2 Calendar de prefinanțare-rambursare</w:t>
      </w:r>
      <w:bookmarkEnd w:id="48"/>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9" w:name="_nmf14n" w:colFirst="0" w:colLast="0"/>
      <w:bookmarkEnd w:id="49"/>
    </w:p>
    <w:p w14:paraId="55E42FA6" w14:textId="77777777" w:rsidR="002F1804" w:rsidRPr="00142DE9" w:rsidRDefault="00AC1DF0">
      <w:pPr>
        <w:pStyle w:val="Heading2"/>
      </w:pPr>
      <w:bookmarkStart w:id="50" w:name="_Toc145343694"/>
      <w:r w:rsidRPr="00142DE9">
        <w:t>Secțiunea C - Protecția informațiilor, etică, drepturi fundamentale</w:t>
      </w:r>
      <w:bookmarkEnd w:id="50"/>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1" w:name="_Toc145343695"/>
            <w:r w:rsidRPr="00142DE9">
              <w:rPr>
                <w:rFonts w:eastAsia="Arial" w:cs="Arial"/>
              </w:rPr>
              <w:t>C1 Protecția informațiilor</w:t>
            </w:r>
            <w:bookmarkEnd w:id="51"/>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2" w:name="_Toc145343696"/>
            <w:r w:rsidRPr="00142DE9">
              <w:t>C2 Etică și drepturi fundamentale</w:t>
            </w:r>
            <w:bookmarkEnd w:id="52"/>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8D6D1D" w:rsidP="009B00AC">
            <w:pPr>
              <w:widowControl w:val="0"/>
              <w:jc w:val="both"/>
              <w:rPr>
                <w:i/>
                <w:iCs/>
                <w:color w:val="E36C0A" w:themeColor="accent6" w:themeShade="BF"/>
              </w:rPr>
            </w:pPr>
            <w:hyperlink r:id="rId16">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8D6D1D" w:rsidP="009B00AC">
            <w:pPr>
              <w:widowControl w:val="0"/>
              <w:jc w:val="both"/>
              <w:rPr>
                <w:i/>
                <w:iCs/>
                <w:color w:val="E36C0A" w:themeColor="accent6" w:themeShade="BF"/>
              </w:rPr>
            </w:pPr>
            <w:hyperlink r:id="rId17">
              <w:r w:rsidR="009B00AC" w:rsidRPr="00142DE9">
                <w:rPr>
                  <w:i/>
                  <w:iCs/>
                  <w:color w:val="E36C0A" w:themeColor="accent6" w:themeShade="BF"/>
                  <w:u w:val="single"/>
                </w:rPr>
                <w:t>Comunicarea CO</w:t>
              </w:r>
            </w:hyperlink>
            <w:hyperlink r:id="rId18">
              <w:r w:rsidR="009B00AC" w:rsidRPr="00142DE9">
                <w:rPr>
                  <w:i/>
                  <w:iCs/>
                  <w:color w:val="E36C0A" w:themeColor="accent6" w:themeShade="BF"/>
                  <w:u w:val="single"/>
                </w:rPr>
                <w:t>M</w:t>
              </w:r>
            </w:hyperlink>
            <w:hyperlink r:id="rId19">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i și 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3" w:name="_Toc145343697"/>
      <w:r w:rsidRPr="00142DE9">
        <w:rPr>
          <w:rFonts w:eastAsia="Arial" w:cs="Arial"/>
        </w:rPr>
        <w:t>Secțiunea D - Anexe</w:t>
      </w:r>
      <w:bookmarkEnd w:id="53"/>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4" w:name="_Toc145343698"/>
            <w:r w:rsidRPr="00142DE9">
              <w:t>D1 Notă privind justificarea și fundamentarea rezonabilității costurilor directe estimate</w:t>
            </w:r>
            <w:bookmarkEnd w:id="54"/>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5" w:name="_3l18frh" w:colFirst="0" w:colLast="0"/>
            <w:bookmarkEnd w:id="55"/>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6" w:name="_Toc145343699"/>
            <w:r w:rsidRPr="00142DE9">
              <w:t>D2 Documente privind parteneriatul</w:t>
            </w:r>
            <w:bookmarkEnd w:id="56"/>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7" w:name="_Toc145343700"/>
            <w:r w:rsidRPr="00142DE9">
              <w:rPr>
                <w:rFonts w:eastAsia="Arial" w:cs="Arial"/>
              </w:rPr>
              <w:t>D3 Declarație privind eligibilitatea TVA</w:t>
            </w:r>
            <w:bookmarkEnd w:id="57"/>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8" w:name="_Toc145343701"/>
            <w:r w:rsidRPr="00142DE9">
              <w:rPr>
                <w:rFonts w:eastAsia="Arial" w:cs="Arial"/>
              </w:rPr>
              <w:t>D4 Alte documente suplimentare privind cererea de finanțare</w:t>
            </w:r>
            <w:bookmarkEnd w:id="58"/>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505E1" w14:textId="77777777" w:rsidR="00296521" w:rsidRDefault="00296521">
      <w:r>
        <w:separator/>
      </w:r>
    </w:p>
  </w:endnote>
  <w:endnote w:type="continuationSeparator" w:id="0">
    <w:p w14:paraId="342A1BDB" w14:textId="77777777" w:rsidR="00296521" w:rsidRDefault="00296521">
      <w:r>
        <w:continuationSeparator/>
      </w:r>
    </w:p>
  </w:endnote>
  <w:endnote w:type="continuationNotice" w:id="1">
    <w:p w14:paraId="72489A55" w14:textId="77777777" w:rsidR="00296521" w:rsidRDefault="00296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BD430" w14:textId="77777777" w:rsidR="00296521" w:rsidRDefault="00296521">
      <w:r>
        <w:separator/>
      </w:r>
    </w:p>
  </w:footnote>
  <w:footnote w:type="continuationSeparator" w:id="0">
    <w:p w14:paraId="05AEE278" w14:textId="77777777" w:rsidR="00296521" w:rsidRDefault="00296521">
      <w:r>
        <w:continuationSeparator/>
      </w:r>
    </w:p>
  </w:footnote>
  <w:footnote w:type="continuationNotice" w:id="1">
    <w:p w14:paraId="32673F96" w14:textId="77777777" w:rsidR="00296521" w:rsidRDefault="00296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2" w14:textId="721DFFB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F11361">
      <w:rPr>
        <w:rFonts w:eastAsia="Roboto" w:cs="Roboto"/>
        <w:color w:val="666666"/>
        <w:sz w:val="16"/>
        <w:szCs w:val="16"/>
      </w:rPr>
      <w:t>BV</w:t>
    </w:r>
    <w:r w:rsidR="005F1CE4">
      <w:rPr>
        <w:rFonts w:eastAsia="Roboto" w:cs="Roboto"/>
        <w:color w:val="666666"/>
        <w:sz w:val="16"/>
        <w:szCs w:val="16"/>
      </w:rPr>
      <w:t>21</w:t>
    </w:r>
    <w:r w:rsidR="00F11361">
      <w:rPr>
        <w:rFonts w:eastAsia="Roboto" w:cs="Roboto"/>
        <w:color w:val="666666"/>
        <w:sz w:val="16"/>
        <w:szCs w:val="16"/>
      </w:rPr>
      <w:t>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4634"/>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67704"/>
    <w:rsid w:val="00273A5A"/>
    <w:rsid w:val="00275E6B"/>
    <w:rsid w:val="00280939"/>
    <w:rsid w:val="002811EB"/>
    <w:rsid w:val="00285552"/>
    <w:rsid w:val="0028687F"/>
    <w:rsid w:val="00292A2E"/>
    <w:rsid w:val="00294601"/>
    <w:rsid w:val="00296521"/>
    <w:rsid w:val="0029766D"/>
    <w:rsid w:val="002A057F"/>
    <w:rsid w:val="002A0D65"/>
    <w:rsid w:val="002A10ED"/>
    <w:rsid w:val="002A2539"/>
    <w:rsid w:val="002A38FD"/>
    <w:rsid w:val="002A592B"/>
    <w:rsid w:val="002B045B"/>
    <w:rsid w:val="002B07F2"/>
    <w:rsid w:val="002B2BFA"/>
    <w:rsid w:val="002B3FC4"/>
    <w:rsid w:val="002B41C6"/>
    <w:rsid w:val="002B4BC1"/>
    <w:rsid w:val="002B7A10"/>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503"/>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17553"/>
    <w:rsid w:val="00420768"/>
    <w:rsid w:val="00422FB6"/>
    <w:rsid w:val="0042396F"/>
    <w:rsid w:val="00423CAF"/>
    <w:rsid w:val="00424ABC"/>
    <w:rsid w:val="00427F60"/>
    <w:rsid w:val="00430357"/>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C6E3E"/>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1CE4"/>
    <w:rsid w:val="005F29D8"/>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A606A"/>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6F5194"/>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193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48DD"/>
    <w:rsid w:val="008C5B73"/>
    <w:rsid w:val="008C5CB3"/>
    <w:rsid w:val="008C5DCA"/>
    <w:rsid w:val="008C60FB"/>
    <w:rsid w:val="008C7588"/>
    <w:rsid w:val="008D1899"/>
    <w:rsid w:val="008D1AC7"/>
    <w:rsid w:val="008D3A61"/>
    <w:rsid w:val="008D5675"/>
    <w:rsid w:val="008D68C3"/>
    <w:rsid w:val="008D6D1D"/>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987"/>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4BEF"/>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438"/>
    <w:rsid w:val="00D43630"/>
    <w:rsid w:val="00D46E61"/>
    <w:rsid w:val="00D5118B"/>
    <w:rsid w:val="00D51436"/>
    <w:rsid w:val="00D53269"/>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0541"/>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57C3B"/>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53C2"/>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67C2B5"/>
    <w:rsid w:val="019EC4BE"/>
    <w:rsid w:val="01B760C6"/>
    <w:rsid w:val="03463857"/>
    <w:rsid w:val="04099A74"/>
    <w:rsid w:val="042A23D1"/>
    <w:rsid w:val="05077E56"/>
    <w:rsid w:val="06601C70"/>
    <w:rsid w:val="069E9A6D"/>
    <w:rsid w:val="06EEF18F"/>
    <w:rsid w:val="08402C4A"/>
    <w:rsid w:val="09190C67"/>
    <w:rsid w:val="0B21B7EC"/>
    <w:rsid w:val="0C91A7FA"/>
    <w:rsid w:val="0CA834C1"/>
    <w:rsid w:val="0CD0C847"/>
    <w:rsid w:val="0CF492D1"/>
    <w:rsid w:val="0CFBA421"/>
    <w:rsid w:val="0E927D2E"/>
    <w:rsid w:val="0F951304"/>
    <w:rsid w:val="0FBFD127"/>
    <w:rsid w:val="0FDF3E0B"/>
    <w:rsid w:val="14247F1C"/>
    <w:rsid w:val="145D6457"/>
    <w:rsid w:val="14E687EC"/>
    <w:rsid w:val="14EDCFE3"/>
    <w:rsid w:val="171731A8"/>
    <w:rsid w:val="17F51589"/>
    <w:rsid w:val="18785B97"/>
    <w:rsid w:val="18991BF4"/>
    <w:rsid w:val="1A1B1B6D"/>
    <w:rsid w:val="1B1A3056"/>
    <w:rsid w:val="1B4B24B5"/>
    <w:rsid w:val="1BFCDEDC"/>
    <w:rsid w:val="1E4B2EB0"/>
    <w:rsid w:val="1EE704AC"/>
    <w:rsid w:val="1FF2F2E2"/>
    <w:rsid w:val="21245E2C"/>
    <w:rsid w:val="22321D62"/>
    <w:rsid w:val="22C8476E"/>
    <w:rsid w:val="22D6323F"/>
    <w:rsid w:val="2482CABA"/>
    <w:rsid w:val="24CC5A3D"/>
    <w:rsid w:val="25C43A64"/>
    <w:rsid w:val="26937D29"/>
    <w:rsid w:val="29121816"/>
    <w:rsid w:val="29E5D8C6"/>
    <w:rsid w:val="2D627F2B"/>
    <w:rsid w:val="2DAC5B0B"/>
    <w:rsid w:val="328CB62F"/>
    <w:rsid w:val="332199A3"/>
    <w:rsid w:val="371E3534"/>
    <w:rsid w:val="38014E23"/>
    <w:rsid w:val="3A6AFFF4"/>
    <w:rsid w:val="3C2E7EA5"/>
    <w:rsid w:val="3C3D9408"/>
    <w:rsid w:val="3CCA6B0C"/>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443934D"/>
    <w:rsid w:val="57807B58"/>
    <w:rsid w:val="5BE08562"/>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BC1A481"/>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417553"/>
  </w:style>
  <w:style w:type="character" w:customStyle="1" w:styleId="eop">
    <w:name w:val="eop"/>
    <w:basedOn w:val="DefaultParagraphFont"/>
    <w:rsid w:val="0041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c.europa.eu/info/funding-tenders/opportunities/docs/2021-2027/common/guidance/how-to-complete-your-ethics-self-assessment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fed.mai.gov.ro/fed-2021-2027/metodologii-programe-nationale-2021-2027-afaceri-interne/" TargetMode="Externa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10266</Words>
  <Characters>58518</Characters>
  <Application>Microsoft Office Word</Application>
  <DocSecurity>4</DocSecurity>
  <Lines>487</Lines>
  <Paragraphs>137</Paragraphs>
  <ScaleCrop>false</ScaleCrop>
  <Company/>
  <LinksUpToDate>false</LinksUpToDate>
  <CharactersWithSpaces>68647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2023-09-27T21:34:00Z</dcterms:created>
  <dcterms:modified xsi:type="dcterms:W3CDTF">2023-09-27T21:49:00Z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