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26D26058" w:rsidR="002F1804" w:rsidRPr="00142DE9" w:rsidRDefault="00DA7E55" w:rsidP="0CD0C847">
            <w:pPr>
              <w:widowControl w:val="0"/>
              <w:spacing w:line="259" w:lineRule="auto"/>
            </w:pPr>
            <w:r w:rsidRPr="00DA7E55">
              <w:t>AM11B</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697DA169"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4A6FEE">
              <w:rPr>
                <w:rFonts w:eastAsia="Arial" w:cs="Arial"/>
                <w:i/>
                <w:iCs/>
                <w:color w:val="E36C0A" w:themeColor="accent6" w:themeShade="BF"/>
              </w:rPr>
              <w:t>11B</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4A6FEE">
              <w:rPr>
                <w:rFonts w:eastAsia="Arial" w:cs="Arial"/>
                <w:i/>
                <w:iCs/>
                <w:color w:val="E36C0A" w:themeColor="accent6" w:themeShade="BF"/>
              </w:rPr>
              <w:t>11B</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69BA228"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6E0C5B">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42EBB346" w:rsidR="002F1804" w:rsidRPr="00142DE9" w:rsidRDefault="00AC1DF0">
            <w:pPr>
              <w:widowControl w:val="0"/>
              <w:rPr>
                <w:i/>
                <w:iCs/>
              </w:rPr>
            </w:pPr>
            <w:r w:rsidRPr="00142DE9">
              <w:rPr>
                <w:i/>
                <w:iCs/>
              </w:rPr>
              <w:t xml:space="preserve">text (max. </w:t>
            </w:r>
            <w:r w:rsidR="00FD5A5E">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EB4F0A">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EB4F0A">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3A046BF8" w:rsidR="002F1804" w:rsidRPr="00142DE9" w:rsidRDefault="00B30BC1" w:rsidP="00B309B9">
            <w:pPr>
              <w:widowControl w:val="0"/>
              <w:rPr>
                <w:i/>
                <w:iCs/>
                <w:color w:val="1155CC"/>
              </w:rPr>
            </w:pPr>
            <w:r w:rsidRPr="00B30BC1">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EB4F0A">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2F00" w14:textId="77777777" w:rsidR="00EB4F0A" w:rsidRDefault="00EB4F0A">
      <w:r>
        <w:separator/>
      </w:r>
    </w:p>
  </w:endnote>
  <w:endnote w:type="continuationSeparator" w:id="0">
    <w:p w14:paraId="5BC003F7" w14:textId="77777777" w:rsidR="00EB4F0A" w:rsidRDefault="00EB4F0A">
      <w:r>
        <w:continuationSeparator/>
      </w:r>
    </w:p>
  </w:endnote>
  <w:endnote w:type="continuationNotice" w:id="1">
    <w:p w14:paraId="6ED036A3" w14:textId="77777777" w:rsidR="00EB4F0A" w:rsidRDefault="00EB4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3FE8" w14:textId="77777777" w:rsidR="00EB4F0A" w:rsidRDefault="00EB4F0A">
      <w:r>
        <w:separator/>
      </w:r>
    </w:p>
  </w:footnote>
  <w:footnote w:type="continuationSeparator" w:id="0">
    <w:p w14:paraId="4FAB9423" w14:textId="77777777" w:rsidR="00EB4F0A" w:rsidRDefault="00EB4F0A">
      <w:r>
        <w:continuationSeparator/>
      </w:r>
    </w:p>
  </w:footnote>
  <w:footnote w:type="continuationNotice" w:id="1">
    <w:p w14:paraId="44BBF6B8" w14:textId="77777777" w:rsidR="00EB4F0A" w:rsidRDefault="00EB4F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2F239F9"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AM11B</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0C5B"/>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6C82"/>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0BC1"/>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03B"/>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4F0A"/>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5A5E"/>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